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D4867" w14:textId="77777777" w:rsidR="00A219B2" w:rsidRPr="00640A26" w:rsidRDefault="00A219B2" w:rsidP="00A219B2">
      <w:pPr>
        <w:jc w:val="center"/>
        <w:rPr>
          <w:rFonts w:asciiTheme="majorHAnsi" w:hAnsiTheme="majorHAnsi"/>
          <w:b/>
          <w:sz w:val="28"/>
          <w:szCs w:val="28"/>
        </w:rPr>
      </w:pPr>
      <w:r w:rsidRPr="00640A26">
        <w:rPr>
          <w:rFonts w:asciiTheme="majorHAnsi" w:hAnsiTheme="majorHAnsi"/>
          <w:b/>
          <w:noProof/>
          <w:sz w:val="28"/>
          <w:szCs w:val="28"/>
          <w:lang w:eastAsia="en-AU"/>
        </w:rPr>
        <w:drawing>
          <wp:inline distT="0" distB="0" distL="0" distR="0" wp14:anchorId="624718DD" wp14:editId="5C91BDFB">
            <wp:extent cx="3634482" cy="167526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_Medium Res.JPG"/>
                    <pic:cNvPicPr/>
                  </pic:nvPicPr>
                  <pic:blipFill>
                    <a:blip r:embed="rId10">
                      <a:extLst>
                        <a:ext uri="{28A0092B-C50C-407E-A947-70E740481C1C}">
                          <a14:useLocalDpi xmlns:a14="http://schemas.microsoft.com/office/drawing/2010/main" val="0"/>
                        </a:ext>
                      </a:extLst>
                    </a:blip>
                    <a:stretch>
                      <a:fillRect/>
                    </a:stretch>
                  </pic:blipFill>
                  <pic:spPr>
                    <a:xfrm>
                      <a:off x="0" y="0"/>
                      <a:ext cx="3634482" cy="1675269"/>
                    </a:xfrm>
                    <a:prstGeom prst="rect">
                      <a:avLst/>
                    </a:prstGeom>
                  </pic:spPr>
                </pic:pic>
              </a:graphicData>
            </a:graphic>
          </wp:inline>
        </w:drawing>
      </w:r>
    </w:p>
    <w:p w14:paraId="38FF79BA" w14:textId="77777777" w:rsidR="00A219B2" w:rsidRPr="00640A26" w:rsidRDefault="00A219B2" w:rsidP="00A219B2">
      <w:pPr>
        <w:jc w:val="center"/>
        <w:rPr>
          <w:rFonts w:asciiTheme="majorHAnsi" w:hAnsiTheme="majorHAnsi"/>
          <w:b/>
          <w:sz w:val="28"/>
          <w:szCs w:val="28"/>
        </w:rPr>
      </w:pPr>
    </w:p>
    <w:p w14:paraId="3BED9409" w14:textId="77777777" w:rsidR="00A219B2" w:rsidRDefault="00A219B2" w:rsidP="00A219B2">
      <w:pPr>
        <w:jc w:val="center"/>
        <w:rPr>
          <w:rFonts w:asciiTheme="majorHAnsi" w:hAnsiTheme="majorHAnsi"/>
          <w:b/>
          <w:sz w:val="28"/>
          <w:szCs w:val="28"/>
        </w:rPr>
      </w:pPr>
    </w:p>
    <w:p w14:paraId="2454F157" w14:textId="77777777" w:rsidR="00A219B2" w:rsidRDefault="00A219B2" w:rsidP="00A219B2">
      <w:pPr>
        <w:jc w:val="center"/>
        <w:rPr>
          <w:rFonts w:asciiTheme="majorHAnsi" w:hAnsiTheme="majorHAnsi"/>
          <w:b/>
          <w:sz w:val="28"/>
          <w:szCs w:val="28"/>
        </w:rPr>
      </w:pPr>
    </w:p>
    <w:p w14:paraId="69BB68CD" w14:textId="77777777" w:rsidR="00A219B2" w:rsidRPr="00640A26" w:rsidRDefault="00A219B2" w:rsidP="00A219B2">
      <w:pPr>
        <w:jc w:val="center"/>
        <w:rPr>
          <w:rFonts w:asciiTheme="majorHAnsi" w:hAnsiTheme="majorHAnsi"/>
          <w:b/>
          <w:sz w:val="28"/>
          <w:szCs w:val="28"/>
        </w:rPr>
      </w:pPr>
    </w:p>
    <w:p w14:paraId="55B06447" w14:textId="77777777" w:rsidR="00A219B2" w:rsidRPr="00640A26" w:rsidRDefault="00A219B2" w:rsidP="00A219B2">
      <w:pPr>
        <w:jc w:val="center"/>
        <w:rPr>
          <w:rFonts w:asciiTheme="majorHAnsi" w:hAnsiTheme="majorHAnsi"/>
          <w:b/>
          <w:sz w:val="28"/>
          <w:szCs w:val="28"/>
        </w:rPr>
      </w:pPr>
    </w:p>
    <w:p w14:paraId="4ED82DF7" w14:textId="44C7D341" w:rsidR="009C3042" w:rsidRPr="00776ADF" w:rsidRDefault="009401F9" w:rsidP="00A219B2">
      <w:pPr>
        <w:jc w:val="center"/>
        <w:rPr>
          <w:rFonts w:asciiTheme="majorHAnsi" w:hAnsiTheme="majorHAnsi"/>
          <w:b/>
          <w:sz w:val="36"/>
          <w:szCs w:val="36"/>
        </w:rPr>
      </w:pPr>
      <w:r w:rsidRPr="00776ADF">
        <w:rPr>
          <w:rFonts w:asciiTheme="majorHAnsi" w:hAnsiTheme="majorHAnsi"/>
          <w:b/>
          <w:sz w:val="36"/>
          <w:szCs w:val="36"/>
        </w:rPr>
        <w:t>Submission to</w:t>
      </w:r>
      <w:r w:rsidR="009C3042" w:rsidRPr="00776ADF">
        <w:rPr>
          <w:rFonts w:asciiTheme="majorHAnsi" w:hAnsiTheme="majorHAnsi"/>
          <w:b/>
          <w:sz w:val="36"/>
          <w:szCs w:val="36"/>
        </w:rPr>
        <w:t>:</w:t>
      </w:r>
    </w:p>
    <w:p w14:paraId="41004A11" w14:textId="6AF98872" w:rsidR="00776ADF" w:rsidRDefault="00776ADF" w:rsidP="00A219B2">
      <w:pPr>
        <w:jc w:val="center"/>
        <w:rPr>
          <w:rFonts w:asciiTheme="majorHAnsi" w:hAnsiTheme="majorHAnsi"/>
          <w:b/>
          <w:sz w:val="28"/>
          <w:szCs w:val="28"/>
        </w:rPr>
      </w:pPr>
    </w:p>
    <w:p w14:paraId="01F45C81" w14:textId="77777777" w:rsidR="00776ADF" w:rsidRPr="00776ADF" w:rsidRDefault="00776ADF" w:rsidP="00A219B2">
      <w:pPr>
        <w:jc w:val="center"/>
        <w:rPr>
          <w:rFonts w:asciiTheme="majorHAnsi" w:hAnsiTheme="majorHAnsi"/>
          <w:b/>
          <w:sz w:val="44"/>
          <w:szCs w:val="44"/>
        </w:rPr>
      </w:pPr>
    </w:p>
    <w:p w14:paraId="70A0BD81" w14:textId="15368838" w:rsidR="00776ADF" w:rsidRPr="00776ADF" w:rsidRDefault="009401F9" w:rsidP="00776ADF">
      <w:pPr>
        <w:pStyle w:val="NormalWeb"/>
        <w:spacing w:before="0" w:beforeAutospacing="0" w:after="240" w:afterAutospacing="0" w:line="276" w:lineRule="auto"/>
        <w:jc w:val="center"/>
        <w:rPr>
          <w:rFonts w:asciiTheme="majorHAnsi" w:hAnsiTheme="majorHAnsi"/>
          <w:b/>
          <w:sz w:val="44"/>
          <w:szCs w:val="44"/>
          <w:lang w:val="en"/>
        </w:rPr>
      </w:pPr>
      <w:r w:rsidRPr="00776ADF">
        <w:rPr>
          <w:rFonts w:asciiTheme="majorHAnsi" w:hAnsiTheme="majorHAnsi"/>
          <w:b/>
          <w:sz w:val="44"/>
          <w:szCs w:val="44"/>
        </w:rPr>
        <w:t xml:space="preserve"> </w:t>
      </w:r>
      <w:r w:rsidR="00776ADF" w:rsidRPr="00776ADF">
        <w:rPr>
          <w:rFonts w:asciiTheme="majorHAnsi" w:hAnsiTheme="majorHAnsi"/>
          <w:b/>
          <w:sz w:val="44"/>
          <w:szCs w:val="44"/>
          <w:lang w:val="en"/>
        </w:rPr>
        <w:t xml:space="preserve">The Parliamentary Joint Committee on Corporations and Financial Services </w:t>
      </w:r>
    </w:p>
    <w:p w14:paraId="098E98AC" w14:textId="77777777" w:rsidR="00776ADF" w:rsidRPr="00776ADF" w:rsidRDefault="00776ADF" w:rsidP="00776ADF">
      <w:pPr>
        <w:pStyle w:val="NormalWeb"/>
        <w:spacing w:before="0" w:beforeAutospacing="0" w:after="240" w:afterAutospacing="0" w:line="360" w:lineRule="auto"/>
        <w:jc w:val="center"/>
        <w:rPr>
          <w:rFonts w:asciiTheme="majorHAnsi" w:hAnsiTheme="majorHAnsi"/>
          <w:b/>
          <w:sz w:val="44"/>
          <w:szCs w:val="44"/>
          <w:lang w:val="en"/>
        </w:rPr>
      </w:pPr>
    </w:p>
    <w:p w14:paraId="6192E81C" w14:textId="29571E76" w:rsidR="00776ADF" w:rsidRPr="00776ADF" w:rsidRDefault="00776ADF" w:rsidP="00776ADF">
      <w:pPr>
        <w:pStyle w:val="NormalWeb"/>
        <w:spacing w:before="0" w:beforeAutospacing="0" w:after="240" w:afterAutospacing="0" w:line="360" w:lineRule="auto"/>
        <w:jc w:val="center"/>
        <w:rPr>
          <w:rFonts w:asciiTheme="majorHAnsi" w:hAnsiTheme="majorHAnsi"/>
          <w:b/>
          <w:sz w:val="44"/>
          <w:szCs w:val="44"/>
          <w:lang w:val="en"/>
        </w:rPr>
      </w:pPr>
      <w:r w:rsidRPr="00776ADF">
        <w:rPr>
          <w:rFonts w:asciiTheme="majorHAnsi" w:hAnsiTheme="majorHAnsi"/>
          <w:b/>
          <w:sz w:val="44"/>
          <w:szCs w:val="44"/>
          <w:lang w:val="en"/>
        </w:rPr>
        <w:t>Inquiry into whistleblower protections in the corporate, public and not-for-profit sectors</w:t>
      </w:r>
    </w:p>
    <w:p w14:paraId="33E541C7" w14:textId="77777777" w:rsidR="00776ADF" w:rsidRDefault="00776ADF" w:rsidP="009C3042">
      <w:pPr>
        <w:jc w:val="center"/>
        <w:rPr>
          <w:rFonts w:asciiTheme="majorHAnsi" w:hAnsiTheme="majorHAnsi"/>
          <w:b/>
          <w:sz w:val="28"/>
          <w:szCs w:val="28"/>
        </w:rPr>
      </w:pPr>
    </w:p>
    <w:p w14:paraId="4336EAD2" w14:textId="77777777" w:rsidR="00776ADF" w:rsidRDefault="00776ADF" w:rsidP="009C3042">
      <w:pPr>
        <w:jc w:val="center"/>
        <w:rPr>
          <w:rFonts w:asciiTheme="majorHAnsi" w:hAnsiTheme="majorHAnsi"/>
          <w:b/>
          <w:sz w:val="28"/>
          <w:szCs w:val="28"/>
        </w:rPr>
      </w:pPr>
    </w:p>
    <w:p w14:paraId="4AB65091" w14:textId="77777777" w:rsidR="00776ADF" w:rsidRDefault="00776ADF" w:rsidP="009C3042">
      <w:pPr>
        <w:jc w:val="center"/>
        <w:rPr>
          <w:rFonts w:asciiTheme="majorHAnsi" w:hAnsiTheme="majorHAnsi"/>
          <w:b/>
          <w:sz w:val="28"/>
          <w:szCs w:val="28"/>
        </w:rPr>
      </w:pPr>
    </w:p>
    <w:p w14:paraId="0BD7B2A1" w14:textId="77777777" w:rsidR="00776ADF" w:rsidRDefault="00776ADF" w:rsidP="009C3042">
      <w:pPr>
        <w:jc w:val="center"/>
        <w:rPr>
          <w:rFonts w:asciiTheme="majorHAnsi" w:hAnsiTheme="majorHAnsi"/>
          <w:b/>
          <w:sz w:val="28"/>
          <w:szCs w:val="28"/>
        </w:rPr>
      </w:pPr>
    </w:p>
    <w:p w14:paraId="7682083A" w14:textId="77777777" w:rsidR="00776ADF" w:rsidRDefault="00776ADF" w:rsidP="009C3042">
      <w:pPr>
        <w:jc w:val="center"/>
        <w:rPr>
          <w:rFonts w:asciiTheme="majorHAnsi" w:hAnsiTheme="majorHAnsi"/>
          <w:b/>
          <w:sz w:val="28"/>
          <w:szCs w:val="28"/>
        </w:rPr>
      </w:pPr>
    </w:p>
    <w:p w14:paraId="12A1A74B" w14:textId="75C06167" w:rsidR="00A219B2" w:rsidRPr="00640A26" w:rsidRDefault="00776ADF" w:rsidP="009C3042">
      <w:pPr>
        <w:jc w:val="center"/>
        <w:rPr>
          <w:rFonts w:asciiTheme="majorHAnsi" w:hAnsiTheme="majorHAnsi"/>
          <w:b/>
          <w:sz w:val="28"/>
          <w:szCs w:val="28"/>
        </w:rPr>
      </w:pPr>
      <w:r>
        <w:rPr>
          <w:rFonts w:asciiTheme="majorHAnsi" w:hAnsiTheme="majorHAnsi"/>
          <w:b/>
          <w:sz w:val="28"/>
          <w:szCs w:val="28"/>
        </w:rPr>
        <w:t>Febru</w:t>
      </w:r>
      <w:r w:rsidR="00E679F8">
        <w:rPr>
          <w:rFonts w:asciiTheme="majorHAnsi" w:hAnsiTheme="majorHAnsi"/>
          <w:b/>
          <w:sz w:val="28"/>
          <w:szCs w:val="28"/>
        </w:rPr>
        <w:t>ary 2017</w:t>
      </w:r>
      <w:r w:rsidR="00A219B2" w:rsidRPr="00640A26">
        <w:rPr>
          <w:rFonts w:asciiTheme="majorHAnsi" w:hAnsiTheme="majorHAnsi"/>
          <w:b/>
          <w:sz w:val="28"/>
          <w:szCs w:val="28"/>
        </w:rPr>
        <w:br w:type="page"/>
      </w:r>
    </w:p>
    <w:p w14:paraId="5E9BADB4" w14:textId="77777777" w:rsidR="00A219B2" w:rsidRPr="00640A26" w:rsidRDefault="00A219B2" w:rsidP="00A219B2">
      <w:pPr>
        <w:rPr>
          <w:rFonts w:asciiTheme="majorHAnsi" w:hAnsiTheme="majorHAnsi"/>
          <w:b/>
          <w:sz w:val="28"/>
          <w:szCs w:val="28"/>
        </w:rPr>
      </w:pPr>
      <w:r w:rsidRPr="00640A26">
        <w:rPr>
          <w:rFonts w:asciiTheme="majorHAnsi" w:hAnsiTheme="majorHAnsi"/>
          <w:b/>
          <w:sz w:val="28"/>
          <w:szCs w:val="28"/>
        </w:rPr>
        <w:lastRenderedPageBreak/>
        <w:t>Introduction</w:t>
      </w:r>
    </w:p>
    <w:p w14:paraId="027D7CC7" w14:textId="42A603AA" w:rsidR="00776ADF" w:rsidRDefault="00A219B2" w:rsidP="00A219B2">
      <w:r>
        <w:t xml:space="preserve">This </w:t>
      </w:r>
      <w:r w:rsidR="004E1D04">
        <w:t>submission</w:t>
      </w:r>
      <w:r w:rsidR="00F0175A">
        <w:t xml:space="preserve"> outlines </w:t>
      </w:r>
      <w:r w:rsidR="00734D17">
        <w:t>five</w:t>
      </w:r>
      <w:r w:rsidR="00776ADF">
        <w:t xml:space="preserve"> key areas of concern for </w:t>
      </w:r>
      <w:r w:rsidR="007F59DA">
        <w:t xml:space="preserve">the </w:t>
      </w:r>
      <w:r w:rsidR="008965DD">
        <w:t>Community C</w:t>
      </w:r>
      <w:r w:rsidR="007F59DA">
        <w:t xml:space="preserve">ouncil for Australia (CCA) </w:t>
      </w:r>
      <w:r w:rsidR="00776ADF">
        <w:t>in relation to whistleblower protections and the associated inquiry by the Parliamentary Joint Committee on Corporations and Financial Services.</w:t>
      </w:r>
    </w:p>
    <w:p w14:paraId="7087D5B4" w14:textId="01CCCEF7" w:rsidR="009A6434" w:rsidRDefault="009A6434" w:rsidP="00A219B2">
      <w:r>
        <w:t>CCA is particularly interested in the terms of reference relating to the development and implementation of whistleblower protections for the charities and not-for-profit sector (NFPs).</w:t>
      </w:r>
    </w:p>
    <w:p w14:paraId="2E03ABE3" w14:textId="29970EC0" w:rsidR="007F59DA" w:rsidRDefault="00776ADF" w:rsidP="00A219B2">
      <w:r>
        <w:t xml:space="preserve">CCA has consulted with members </w:t>
      </w:r>
      <w:r w:rsidR="00ED7AA4">
        <w:t xml:space="preserve">(see listing in appendix 1) </w:t>
      </w:r>
      <w:r>
        <w:t>in framing this submission, however, i</w:t>
      </w:r>
      <w:r w:rsidR="00A219B2" w:rsidRPr="00640A26">
        <w:t>t is important to note that t</w:t>
      </w:r>
      <w:r w:rsidR="00A219B2">
        <w:t xml:space="preserve">his submission does not </w:t>
      </w:r>
      <w:r w:rsidR="00CA0C2B">
        <w:t>override</w:t>
      </w:r>
      <w:r w:rsidR="00A219B2" w:rsidRPr="00640A26">
        <w:t xml:space="preserve"> the policy positions outlined in </w:t>
      </w:r>
      <w:r w:rsidR="00CA0C2B">
        <w:t>any</w:t>
      </w:r>
      <w:r w:rsidR="00A219B2" w:rsidRPr="00640A26">
        <w:t xml:space="preserve"> individual submissions from </w:t>
      </w:r>
      <w:r w:rsidR="00AE0C93">
        <w:t>CCA</w:t>
      </w:r>
      <w:r w:rsidR="00A219B2" w:rsidRPr="00640A26">
        <w:t xml:space="preserve"> members</w:t>
      </w:r>
      <w:r w:rsidR="0089285C">
        <w:t xml:space="preserve">.  </w:t>
      </w:r>
    </w:p>
    <w:p w14:paraId="5B6FC84A" w14:textId="65EAC5C0" w:rsidR="00A219B2" w:rsidRDefault="00F0175A" w:rsidP="00776ADF">
      <w:r>
        <w:t xml:space="preserve">The content of this submission includes: a brief background to CCA; </w:t>
      </w:r>
      <w:r w:rsidR="00930219">
        <w:t>an over</w:t>
      </w:r>
      <w:r w:rsidR="0026444E">
        <w:t>view of the current context</w:t>
      </w:r>
      <w:r w:rsidR="00930219">
        <w:t xml:space="preserve"> for the </w:t>
      </w:r>
      <w:r w:rsidR="00CA0C2B">
        <w:t>NFP sector;</w:t>
      </w:r>
      <w:r w:rsidR="00930219">
        <w:t xml:space="preserve"> </w:t>
      </w:r>
      <w:r w:rsidR="0026444E">
        <w:t>a listing of five key issue</w:t>
      </w:r>
      <w:r w:rsidR="00734D17">
        <w:t xml:space="preserve">s </w:t>
      </w:r>
      <w:r w:rsidR="00776ADF">
        <w:t>associated with whistleblower protections as they might apply across the charities and not-for-profit sector.</w:t>
      </w:r>
      <w:r w:rsidR="00F23DCC">
        <w:t xml:space="preserve"> </w:t>
      </w:r>
    </w:p>
    <w:p w14:paraId="13C951DF" w14:textId="77777777" w:rsidR="00734D17" w:rsidRDefault="00A219B2" w:rsidP="00295A23">
      <w:pPr>
        <w:spacing w:before="200"/>
      </w:pPr>
      <w:r>
        <w:t>CCA welcomes this opportunity to provide</w:t>
      </w:r>
      <w:r w:rsidRPr="00640A26">
        <w:t xml:space="preserve"> input into </w:t>
      </w:r>
      <w:r w:rsidR="00776ADF">
        <w:t>this Inquiry</w:t>
      </w:r>
      <w:r w:rsidRPr="00640A26">
        <w:t xml:space="preserve"> and </w:t>
      </w:r>
      <w:r w:rsidR="00776ADF">
        <w:t xml:space="preserve">is keen </w:t>
      </w:r>
      <w:r w:rsidR="00A61654">
        <w:t>t</w:t>
      </w:r>
      <w:r w:rsidRPr="00640A26">
        <w:t xml:space="preserve">o engage in </w:t>
      </w:r>
      <w:r>
        <w:t>detailed</w:t>
      </w:r>
      <w:r w:rsidR="00295A23">
        <w:t xml:space="preserve"> discussion about any</w:t>
      </w:r>
      <w:r w:rsidR="00776ADF">
        <w:t xml:space="preserve"> proposals arising from the Inquiry.</w:t>
      </w:r>
      <w:r w:rsidRPr="00640A26">
        <w:t xml:space="preserve"> </w:t>
      </w:r>
    </w:p>
    <w:p w14:paraId="0E1CB263" w14:textId="6C5BAB58" w:rsidR="002D19DE" w:rsidRDefault="00A219B2" w:rsidP="00295A23">
      <w:pPr>
        <w:spacing w:before="200"/>
        <w:rPr>
          <w:rFonts w:asciiTheme="majorHAnsi" w:hAnsiTheme="majorHAnsi"/>
          <w:b/>
          <w:sz w:val="28"/>
          <w:szCs w:val="28"/>
        </w:rPr>
      </w:pPr>
      <w:r w:rsidRPr="00640A26">
        <w:br/>
      </w:r>
    </w:p>
    <w:p w14:paraId="7DF4281F" w14:textId="77777777" w:rsidR="002D19DE" w:rsidRPr="002001BD" w:rsidRDefault="002D19DE" w:rsidP="002D19DE">
      <w:r w:rsidRPr="00B90B3F">
        <w:rPr>
          <w:rFonts w:asciiTheme="majorHAnsi" w:hAnsiTheme="majorHAnsi"/>
          <w:b/>
          <w:sz w:val="28"/>
          <w:szCs w:val="28"/>
        </w:rPr>
        <w:t>The Community Council for Australia</w:t>
      </w:r>
    </w:p>
    <w:p w14:paraId="44F313BF" w14:textId="73DD6574" w:rsidR="00B5337A" w:rsidRPr="003F67E5" w:rsidRDefault="00B5337A" w:rsidP="00B5337A">
      <w:r>
        <w:t>The Community Council for Australia</w:t>
      </w:r>
      <w:r w:rsidRPr="003F67E5">
        <w:t xml:space="preserve"> is</w:t>
      </w:r>
      <w:r w:rsidR="00647DCB">
        <w:t xml:space="preserve"> a</w:t>
      </w:r>
      <w:r w:rsidRPr="003F67E5">
        <w:t>n independent non-political</w:t>
      </w:r>
      <w:r w:rsidR="007D2911">
        <w:t xml:space="preserve"> </w:t>
      </w:r>
      <w:r w:rsidRPr="003F67E5">
        <w:t>member</w:t>
      </w:r>
      <w:r w:rsidR="007D2911">
        <w:t xml:space="preserve"> based</w:t>
      </w:r>
      <w:r w:rsidRPr="003F67E5">
        <w:t xml:space="preserve"> organisation dedicated to building flourishing communities by enhancing the extraordinary work undertaken by the </w:t>
      </w:r>
      <w:r>
        <w:t xml:space="preserve">charities and not-for-profit </w:t>
      </w:r>
      <w:r w:rsidRPr="003F67E5">
        <w:t>sector in Australia.</w:t>
      </w:r>
      <w:r>
        <w:t xml:space="preserve"> </w:t>
      </w:r>
      <w:r w:rsidR="00F374BB">
        <w:t xml:space="preserve"> </w:t>
      </w:r>
      <w:r w:rsidRPr="003F67E5">
        <w:t>CCA seeks to change the way governments, communities and not-for-profits relate to one another.</w:t>
      </w:r>
      <w:r>
        <w:t xml:space="preserve"> </w:t>
      </w:r>
      <w:r w:rsidR="00F374BB">
        <w:t xml:space="preserve"> </w:t>
      </w:r>
      <w:r w:rsidR="007D2911">
        <w:t>It does so by providing</w:t>
      </w:r>
      <w:r>
        <w:t xml:space="preserve"> a national </w:t>
      </w:r>
      <w:r w:rsidRPr="003F67E5">
        <w:t xml:space="preserve">voice </w:t>
      </w:r>
      <w:r>
        <w:t>and facilitat</w:t>
      </w:r>
      <w:r w:rsidR="007D2911">
        <w:t>ion</w:t>
      </w:r>
      <w:r>
        <w:t xml:space="preserve"> for sector leaders to act </w:t>
      </w:r>
      <w:r w:rsidRPr="003F67E5">
        <w:t>on common and shared issues affecting the contribution, performance and viability of NFP</w:t>
      </w:r>
      <w:r w:rsidR="007D2911">
        <w:t xml:space="preserve">s </w:t>
      </w:r>
      <w:r w:rsidRPr="003F67E5">
        <w:t>in Australia</w:t>
      </w:r>
      <w:r>
        <w:t xml:space="preserve">. </w:t>
      </w:r>
      <w:r w:rsidR="00BC1703">
        <w:t xml:space="preserve"> </w:t>
      </w:r>
      <w:r>
        <w:t>This includes</w:t>
      </w:r>
      <w:r w:rsidRPr="003F67E5">
        <w:t>:</w:t>
      </w:r>
    </w:p>
    <w:p w14:paraId="3C496672" w14:textId="77777777" w:rsidR="00B5337A" w:rsidRPr="003F67E5" w:rsidRDefault="00B5337A" w:rsidP="0051598E">
      <w:pPr>
        <w:pStyle w:val="ListParagraph"/>
        <w:numPr>
          <w:ilvl w:val="0"/>
          <w:numId w:val="24"/>
        </w:numPr>
        <w:spacing w:line="240" w:lineRule="auto"/>
        <w:ind w:left="1071" w:hanging="357"/>
        <w:contextualSpacing w:val="0"/>
      </w:pPr>
      <w:r w:rsidRPr="003F67E5">
        <w:t xml:space="preserve">promoting the values of the sector and the need for reform </w:t>
      </w:r>
    </w:p>
    <w:p w14:paraId="66EBF802" w14:textId="77777777" w:rsidR="00B5337A" w:rsidRPr="003F67E5" w:rsidRDefault="00B5337A" w:rsidP="0051598E">
      <w:pPr>
        <w:pStyle w:val="ListParagraph"/>
        <w:numPr>
          <w:ilvl w:val="0"/>
          <w:numId w:val="24"/>
        </w:numPr>
        <w:spacing w:line="240" w:lineRule="auto"/>
        <w:ind w:left="1071" w:hanging="357"/>
        <w:contextualSpacing w:val="0"/>
      </w:pPr>
      <w:r w:rsidRPr="003F67E5">
        <w:t>influencing and shaping relevant policy agendas</w:t>
      </w:r>
    </w:p>
    <w:p w14:paraId="05964158" w14:textId="77777777" w:rsidR="00B5337A" w:rsidRDefault="00B5337A" w:rsidP="0051598E">
      <w:pPr>
        <w:pStyle w:val="ListParagraph"/>
        <w:numPr>
          <w:ilvl w:val="0"/>
          <w:numId w:val="24"/>
        </w:numPr>
        <w:spacing w:line="240" w:lineRule="auto"/>
        <w:ind w:left="1071" w:hanging="357"/>
        <w:contextualSpacing w:val="0"/>
      </w:pPr>
      <w:r>
        <w:t>improving the way people invest in the sector</w:t>
      </w:r>
    </w:p>
    <w:p w14:paraId="70556D8F" w14:textId="77777777" w:rsidR="00B5337A" w:rsidRDefault="00B5337A" w:rsidP="0051598E">
      <w:pPr>
        <w:pStyle w:val="ListParagraph"/>
        <w:numPr>
          <w:ilvl w:val="0"/>
          <w:numId w:val="24"/>
        </w:numPr>
        <w:spacing w:line="240" w:lineRule="auto"/>
        <w:ind w:left="1071" w:hanging="357"/>
        <w:contextualSpacing w:val="0"/>
      </w:pPr>
      <w:r w:rsidRPr="00B5337A">
        <w:t>measuring and reporting success in a way that clearly articulates value</w:t>
      </w:r>
    </w:p>
    <w:p w14:paraId="185907AE" w14:textId="35957C5E" w:rsidR="00B5337A" w:rsidRDefault="00B5337A" w:rsidP="0051598E">
      <w:pPr>
        <w:pStyle w:val="ListParagraph"/>
        <w:numPr>
          <w:ilvl w:val="0"/>
          <w:numId w:val="24"/>
        </w:numPr>
        <w:spacing w:line="240" w:lineRule="auto"/>
        <w:ind w:left="1071" w:hanging="357"/>
        <w:contextualSpacing w:val="0"/>
      </w:pPr>
      <w:r>
        <w:t>building collaboration and sector efficiency</w:t>
      </w:r>
    </w:p>
    <w:p w14:paraId="2A8853F0" w14:textId="416065E0" w:rsidR="00B5337A" w:rsidRPr="003F67E5" w:rsidRDefault="00B5337A" w:rsidP="0051598E">
      <w:pPr>
        <w:pStyle w:val="ListParagraph"/>
        <w:numPr>
          <w:ilvl w:val="0"/>
          <w:numId w:val="24"/>
        </w:numPr>
        <w:spacing w:line="240" w:lineRule="auto"/>
        <w:ind w:left="1071" w:hanging="357"/>
        <w:contextualSpacing w:val="0"/>
      </w:pPr>
      <w:r w:rsidRPr="003F67E5">
        <w:t>informing, educating, and assisting organisations in the sector to deal with change and build sustainable futures</w:t>
      </w:r>
    </w:p>
    <w:p w14:paraId="4B08DABB" w14:textId="77777777" w:rsidR="00B5337A" w:rsidRDefault="00B5337A" w:rsidP="0051598E">
      <w:pPr>
        <w:pStyle w:val="ListParagraph"/>
        <w:numPr>
          <w:ilvl w:val="0"/>
          <w:numId w:val="24"/>
        </w:numPr>
        <w:spacing w:line="240" w:lineRule="auto"/>
        <w:ind w:left="1071" w:hanging="357"/>
        <w:contextualSpacing w:val="0"/>
      </w:pPr>
      <w:r>
        <w:t xml:space="preserve">providing a catalyst and mechanism for the sector to work </w:t>
      </w:r>
      <w:r w:rsidRPr="003F67E5">
        <w:t>in partnership with government, business and the broader Australian community to achieve positive change.</w:t>
      </w:r>
    </w:p>
    <w:p w14:paraId="21A9BA1F" w14:textId="26A1EB94" w:rsidR="00B5337A" w:rsidRDefault="00B5337A" w:rsidP="00B5337A">
      <w:r>
        <w:t xml:space="preserve">Our success will drive a more sustainable and effective charities and not-for-profit sector in Australia making an increased contribution to the well-being and </w:t>
      </w:r>
      <w:r w:rsidR="0023720C">
        <w:t xml:space="preserve">resilience </w:t>
      </w:r>
      <w:r>
        <w:t>of all our communities.</w:t>
      </w:r>
    </w:p>
    <w:p w14:paraId="504A2AC9" w14:textId="77777777" w:rsidR="00ED7AA4" w:rsidRDefault="00ED7AA4">
      <w:pPr>
        <w:rPr>
          <w:rFonts w:asciiTheme="majorHAnsi" w:hAnsiTheme="majorHAnsi"/>
          <w:b/>
          <w:sz w:val="28"/>
          <w:szCs w:val="28"/>
        </w:rPr>
      </w:pPr>
      <w:r>
        <w:rPr>
          <w:rFonts w:asciiTheme="majorHAnsi" w:hAnsiTheme="majorHAnsi"/>
          <w:b/>
          <w:sz w:val="28"/>
          <w:szCs w:val="28"/>
        </w:rPr>
        <w:br w:type="page"/>
      </w:r>
    </w:p>
    <w:p w14:paraId="7EE4F259" w14:textId="4E849B64" w:rsidR="002D19DE" w:rsidRPr="00BE0A7B" w:rsidRDefault="002D19DE" w:rsidP="00C84B58">
      <w:pPr>
        <w:spacing w:before="240" w:after="120"/>
        <w:ind w:left="363"/>
        <w:rPr>
          <w:rFonts w:asciiTheme="majorHAnsi" w:hAnsiTheme="majorHAnsi"/>
          <w:b/>
          <w:sz w:val="28"/>
          <w:szCs w:val="28"/>
        </w:rPr>
      </w:pPr>
      <w:r w:rsidRPr="00BE0A7B">
        <w:rPr>
          <w:rFonts w:asciiTheme="majorHAnsi" w:hAnsiTheme="majorHAnsi"/>
          <w:b/>
          <w:sz w:val="28"/>
          <w:szCs w:val="28"/>
        </w:rPr>
        <w:lastRenderedPageBreak/>
        <w:t>Context</w:t>
      </w:r>
      <w:r>
        <w:rPr>
          <w:rFonts w:asciiTheme="majorHAnsi" w:hAnsiTheme="majorHAnsi"/>
          <w:b/>
          <w:sz w:val="28"/>
          <w:szCs w:val="28"/>
        </w:rPr>
        <w:t>: not-for-profit reform</w:t>
      </w:r>
    </w:p>
    <w:p w14:paraId="30323273" w14:textId="71E2F6FF" w:rsidR="002D19DE" w:rsidRDefault="002D19DE" w:rsidP="00C84B58">
      <w:pPr>
        <w:ind w:left="360"/>
      </w:pPr>
      <w:r>
        <w:t>The</w:t>
      </w:r>
      <w:r w:rsidR="00CF02D2">
        <w:t xml:space="preserve"> NFP sector </w:t>
      </w:r>
      <w:r>
        <w:t>encompasses over 600,000 organisations</w:t>
      </w:r>
      <w:r w:rsidR="007762EE">
        <w:t xml:space="preserve"> -</w:t>
      </w:r>
      <w:r>
        <w:t xml:space="preserve"> from large to very small, and employ</w:t>
      </w:r>
      <w:r w:rsidR="00CF02D2">
        <w:t>s</w:t>
      </w:r>
      <w:r>
        <w:t xml:space="preserve"> </w:t>
      </w:r>
      <w:r w:rsidR="003A3F48">
        <w:t>well over one million staff (around 10</w:t>
      </w:r>
      <w:r w:rsidR="0037184A">
        <w:t>%</w:t>
      </w:r>
      <w:r>
        <w:t xml:space="preserve"> of all employees in Australia).</w:t>
      </w:r>
      <w:r w:rsidR="00852458">
        <w:t xml:space="preserve"> </w:t>
      </w:r>
      <w:r>
        <w:t xml:space="preserve"> </w:t>
      </w:r>
      <w:r w:rsidR="00ED7AA4">
        <w:t>Australia’s 54</w:t>
      </w:r>
      <w:r w:rsidR="003A3F48">
        <w:t xml:space="preserve">,000 charities collectively turn </w:t>
      </w:r>
      <w:r w:rsidR="007A5523">
        <w:t>over more than $130</w:t>
      </w:r>
      <w:r w:rsidR="00797622">
        <w:t xml:space="preserve"> bill</w:t>
      </w:r>
      <w:r w:rsidR="00C91617">
        <w:t>ion</w:t>
      </w:r>
      <w:r w:rsidR="003A3F48">
        <w:t xml:space="preserve"> each year and hold over $260</w:t>
      </w:r>
      <w:r w:rsidR="00C91617">
        <w:t xml:space="preserve"> </w:t>
      </w:r>
      <w:r w:rsidR="003C2C05">
        <w:t>billio</w:t>
      </w:r>
      <w:r w:rsidR="00C91617">
        <w:t xml:space="preserve">n </w:t>
      </w:r>
      <w:r w:rsidR="003C2C05">
        <w:t xml:space="preserve">in </w:t>
      </w:r>
      <w:r w:rsidR="00C91617">
        <w:t>assets.</w:t>
      </w:r>
      <w:r w:rsidR="00C84B58">
        <w:t xml:space="preserve">  </w:t>
      </w:r>
      <w:r w:rsidR="00D44F1C">
        <w:t xml:space="preserve">In the last decade, </w:t>
      </w:r>
      <w:r>
        <w:t xml:space="preserve">sector </w:t>
      </w:r>
      <w:r w:rsidR="007762EE">
        <w:t xml:space="preserve">growth </w:t>
      </w:r>
      <w:r w:rsidR="006C274B">
        <w:t xml:space="preserve">has continued at </w:t>
      </w:r>
      <w:r w:rsidR="00AF4CF2">
        <w:t>more than</w:t>
      </w:r>
      <w:r w:rsidR="00172A8B">
        <w:t xml:space="preserve"> </w:t>
      </w:r>
      <w:r w:rsidR="006C274B">
        <w:t xml:space="preserve">7% a year, </w:t>
      </w:r>
      <w:r w:rsidR="00CF02D2">
        <w:t>a figure that is higher</w:t>
      </w:r>
      <w:r w:rsidR="00172A8B">
        <w:t xml:space="preserve"> than </w:t>
      </w:r>
      <w:r>
        <w:t>any other industry</w:t>
      </w:r>
      <w:r w:rsidR="00D44F1C">
        <w:t xml:space="preserve"> group</w:t>
      </w:r>
      <w:r>
        <w:t xml:space="preserve">.  </w:t>
      </w:r>
    </w:p>
    <w:p w14:paraId="10C631D5" w14:textId="47DE7F59" w:rsidR="002D19DE" w:rsidRDefault="00CF02D2" w:rsidP="002D19DE">
      <w:pPr>
        <w:ind w:left="360"/>
      </w:pPr>
      <w:r>
        <w:t>These facts</w:t>
      </w:r>
      <w:r w:rsidR="002D19DE">
        <w:t xml:space="preserve"> t</w:t>
      </w:r>
      <w:r w:rsidR="00B15439">
        <w:t xml:space="preserve">ell </w:t>
      </w:r>
      <w:r w:rsidR="00D44F1C">
        <w:t xml:space="preserve">only </w:t>
      </w:r>
      <w:r w:rsidR="00B15439">
        <w:t xml:space="preserve">a small part of the story. </w:t>
      </w:r>
      <w:r w:rsidR="002D19DE">
        <w:t xml:space="preserve">The real value of the NFP sector is often </w:t>
      </w:r>
      <w:r w:rsidR="007762EE">
        <w:t xml:space="preserve">in the unmeasured </w:t>
      </w:r>
      <w:r w:rsidR="002D19DE">
        <w:t xml:space="preserve">contribution to </w:t>
      </w:r>
      <w:r w:rsidR="007762EE">
        <w:t>Australian quality of life</w:t>
      </w:r>
      <w:r w:rsidR="006C274B">
        <w:t xml:space="preserve">.  </w:t>
      </w:r>
      <w:r w:rsidR="002D19DE">
        <w:t>NFPs are at the heart of our communities</w:t>
      </w:r>
      <w:r w:rsidR="00326F9C">
        <w:t>;</w:t>
      </w:r>
      <w:r w:rsidR="007762EE">
        <w:t xml:space="preserve"> </w:t>
      </w:r>
      <w:r w:rsidR="00326F9C">
        <w:t>building connection, nurturing spiritual and cultural expression, and enhancing the product</w:t>
      </w:r>
      <w:r w:rsidR="00D9643D">
        <w:t>ivity of all Australians. Collectively</w:t>
      </w:r>
      <w:r w:rsidR="00326F9C">
        <w:t xml:space="preserve">, they make us a more </w:t>
      </w:r>
      <w:r w:rsidR="002D19DE">
        <w:t xml:space="preserve">resilient society.  </w:t>
      </w:r>
    </w:p>
    <w:p w14:paraId="1E7279DE" w14:textId="5EC97207" w:rsidR="00AA5420" w:rsidRDefault="002D19DE" w:rsidP="002D19DE">
      <w:pPr>
        <w:ind w:left="360"/>
      </w:pPr>
      <w:r w:rsidRPr="00B02B81">
        <w:t xml:space="preserve">The </w:t>
      </w:r>
      <w:r w:rsidR="00AA5420">
        <w:t>importance of the NFP sector is now being</w:t>
      </w:r>
      <w:r w:rsidR="007762EE">
        <w:t xml:space="preserve"> internationally</w:t>
      </w:r>
      <w:r w:rsidR="00797622">
        <w:t xml:space="preserve"> recognised </w:t>
      </w:r>
      <w:r w:rsidR="00AA5420">
        <w:t xml:space="preserve">with </w:t>
      </w:r>
      <w:r w:rsidR="00797622">
        <w:t xml:space="preserve">many </w:t>
      </w:r>
      <w:r w:rsidR="00AA5420">
        <w:t>government</w:t>
      </w:r>
      <w:r w:rsidR="00797622">
        <w:t>s</w:t>
      </w:r>
      <w:r w:rsidR="00AA5420">
        <w:t xml:space="preserve"> putting in place measures to </w:t>
      </w:r>
      <w:r w:rsidR="007762EE">
        <w:t xml:space="preserve">increase </w:t>
      </w:r>
      <w:r w:rsidR="00797622">
        <w:t>NFP</w:t>
      </w:r>
      <w:r w:rsidR="00D44F1C">
        <w:t xml:space="preserve"> </w:t>
      </w:r>
      <w:r w:rsidR="00D9643D">
        <w:t xml:space="preserve">investment and </w:t>
      </w:r>
      <w:r w:rsidR="00D44F1C">
        <w:t>productivity</w:t>
      </w:r>
      <w:r w:rsidR="00285E93">
        <w:t>.</w:t>
      </w:r>
      <w:r w:rsidR="00852458">
        <w:t xml:space="preserve"> </w:t>
      </w:r>
      <w:r w:rsidR="00285E93">
        <w:t xml:space="preserve"> </w:t>
      </w:r>
      <w:r w:rsidR="00AA5420">
        <w:t>Smaller government and bigger community is a common theme, driven in part by savings</w:t>
      </w:r>
      <w:r w:rsidR="00EF3E47">
        <w:t>,</w:t>
      </w:r>
      <w:r w:rsidR="00B15439">
        <w:t xml:space="preserve"> </w:t>
      </w:r>
      <w:r w:rsidR="00AA5420">
        <w:t>but also by a commitment to greater civic engagement</w:t>
      </w:r>
      <w:r w:rsidR="00D9643D">
        <w:t xml:space="preserve">, social entrepreneurship </w:t>
      </w:r>
      <w:r w:rsidR="00AA5420">
        <w:t xml:space="preserve">and </w:t>
      </w:r>
      <w:r w:rsidR="00285E93">
        <w:t>productivity within the NFP sector</w:t>
      </w:r>
      <w:r w:rsidR="00AA5420">
        <w:t>.</w:t>
      </w:r>
    </w:p>
    <w:p w14:paraId="28BA0A0C" w14:textId="1E2C6CA2" w:rsidR="00285E93" w:rsidRDefault="00285E93" w:rsidP="002D19DE">
      <w:pPr>
        <w:ind w:left="360"/>
      </w:pPr>
      <w:r>
        <w:t>In</w:t>
      </w:r>
      <w:r w:rsidR="00AA5420">
        <w:t xml:space="preserve"> Australia </w:t>
      </w:r>
      <w:r>
        <w:t xml:space="preserve">there are </w:t>
      </w:r>
      <w:r w:rsidR="002D19DE" w:rsidRPr="00B02B81">
        <w:t>current</w:t>
      </w:r>
      <w:r w:rsidR="00B15439">
        <w:t xml:space="preserve">ly </w:t>
      </w:r>
      <w:r w:rsidR="00D44F1C">
        <w:t xml:space="preserve">various </w:t>
      </w:r>
      <w:r w:rsidR="00B15439">
        <w:t>initiatives seeking to</w:t>
      </w:r>
      <w:r w:rsidR="001470D8">
        <w:t>:</w:t>
      </w:r>
      <w:r w:rsidR="00B15439">
        <w:t xml:space="preserve"> </w:t>
      </w:r>
      <w:r w:rsidR="002D19DE">
        <w:t>promot</w:t>
      </w:r>
      <w:r>
        <w:t>e</w:t>
      </w:r>
      <w:r w:rsidR="002D19DE">
        <w:t xml:space="preserve"> social enterprise;</w:t>
      </w:r>
      <w:r w:rsidR="002D19DE" w:rsidRPr="00B02B81">
        <w:t xml:space="preserve"> reduc</w:t>
      </w:r>
      <w:r>
        <w:t>e</w:t>
      </w:r>
      <w:r w:rsidR="002D19DE" w:rsidRPr="00B02B81">
        <w:t xml:space="preserve"> compliance costs for </w:t>
      </w:r>
      <w:r w:rsidR="002D19DE">
        <w:t>NFP</w:t>
      </w:r>
      <w:r w:rsidR="007762EE">
        <w:t>s</w:t>
      </w:r>
      <w:r w:rsidR="002D19DE">
        <w:t>;</w:t>
      </w:r>
      <w:r w:rsidR="002D19DE" w:rsidRPr="00B02B81">
        <w:t xml:space="preserve"> encourag</w:t>
      </w:r>
      <w:r>
        <w:t>e</w:t>
      </w:r>
      <w:r w:rsidR="002D19DE" w:rsidRPr="00B02B81">
        <w:t xml:space="preserve"> a diversification of financing options to build a more sustainable funding base</w:t>
      </w:r>
      <w:r w:rsidR="002D19DE">
        <w:t>;</w:t>
      </w:r>
      <w:r w:rsidR="002D19DE" w:rsidRPr="00B02B81">
        <w:t xml:space="preserve"> streamlin</w:t>
      </w:r>
      <w:r>
        <w:t>e</w:t>
      </w:r>
      <w:r w:rsidR="002D19DE" w:rsidRPr="00B02B81">
        <w:t xml:space="preserve"> and refin</w:t>
      </w:r>
      <w:r>
        <w:t>e</w:t>
      </w:r>
      <w:r w:rsidR="002D19DE" w:rsidRPr="00B02B81">
        <w:t xml:space="preserve"> the regulation of </w:t>
      </w:r>
      <w:r w:rsidR="002D19DE">
        <w:t>NFPs</w:t>
      </w:r>
      <w:r w:rsidR="002D19DE" w:rsidRPr="00B02B81">
        <w:t xml:space="preserve"> and charities</w:t>
      </w:r>
      <w:r w:rsidR="002D19DE">
        <w:t>;</w:t>
      </w:r>
      <w:r w:rsidR="002D19DE" w:rsidRPr="00B02B81">
        <w:t xml:space="preserve"> establish less bureaucratic reporting requirements while building community transparency</w:t>
      </w:r>
      <w:r w:rsidR="002D19DE">
        <w:t>;</w:t>
      </w:r>
      <w:r>
        <w:t xml:space="preserve"> </w:t>
      </w:r>
      <w:r w:rsidR="00EF3E47">
        <w:t xml:space="preserve">increase </w:t>
      </w:r>
      <w:r w:rsidR="00647DCB">
        <w:t xml:space="preserve">volunteering and </w:t>
      </w:r>
      <w:r w:rsidR="00EF3E47">
        <w:t>philanthropy</w:t>
      </w:r>
      <w:r w:rsidR="001470D8">
        <w:t>;</w:t>
      </w:r>
      <w:r w:rsidR="00EF3E47">
        <w:t xml:space="preserve"> </w:t>
      </w:r>
      <w:r w:rsidR="002D19DE" w:rsidRPr="00B02B81">
        <w:t xml:space="preserve">improve relationships between government and the </w:t>
      </w:r>
      <w:r w:rsidR="002D19DE">
        <w:t xml:space="preserve">NFP </w:t>
      </w:r>
      <w:r w:rsidR="002D19DE" w:rsidRPr="00B02B81">
        <w:t>sector</w:t>
      </w:r>
      <w:r w:rsidR="001470D8">
        <w:t>;</w:t>
      </w:r>
      <w:r w:rsidR="004B1D99">
        <w:t xml:space="preserve"> promote impact investing</w:t>
      </w:r>
      <w:r w:rsidR="001470D8">
        <w:t>;</w:t>
      </w:r>
      <w:r w:rsidR="004B1D99">
        <w:t xml:space="preserve"> and increase sector performance measurement</w:t>
      </w:r>
      <w:r w:rsidR="00EF3E47">
        <w:t xml:space="preserve">.  CCA supports </w:t>
      </w:r>
      <w:r w:rsidR="007762EE">
        <w:t xml:space="preserve">all </w:t>
      </w:r>
      <w:r w:rsidR="00EF3E47">
        <w:t>these activities.</w:t>
      </w:r>
      <w:r>
        <w:t xml:space="preserve"> </w:t>
      </w:r>
    </w:p>
    <w:p w14:paraId="04204462" w14:textId="332E5226" w:rsidR="002D19DE" w:rsidRDefault="00285E93" w:rsidP="002D19DE">
      <w:pPr>
        <w:ind w:left="360"/>
      </w:pPr>
      <w:r>
        <w:t xml:space="preserve">The </w:t>
      </w:r>
      <w:r w:rsidR="002D19DE">
        <w:t>establishment of the A</w:t>
      </w:r>
      <w:r w:rsidR="00ED7AA4">
        <w:t xml:space="preserve">ustralian Charities and Not-for-profit Commission (ACNC) </w:t>
      </w:r>
      <w:r w:rsidR="002D19DE">
        <w:t>is the first time the NFP sector has had an independent regulator dedicated to ser</w:t>
      </w:r>
      <w:r>
        <w:t>ving their needs</w:t>
      </w:r>
      <w:r w:rsidR="007762EE">
        <w:t xml:space="preserve"> and enhancing their capacity</w:t>
      </w:r>
      <w:r>
        <w:t>.</w:t>
      </w:r>
      <w:r w:rsidR="00852458">
        <w:t xml:space="preserve"> </w:t>
      </w:r>
      <w:r w:rsidR="00711940">
        <w:t xml:space="preserve"> It has already proved to be</w:t>
      </w:r>
      <w:r>
        <w:t xml:space="preserve"> a </w:t>
      </w:r>
      <w:r w:rsidR="002D19DE">
        <w:t>positive step towards red tape</w:t>
      </w:r>
      <w:r w:rsidR="007762EE">
        <w:t xml:space="preserve"> reductions</w:t>
      </w:r>
      <w:r w:rsidR="006C274B">
        <w:t>, increas</w:t>
      </w:r>
      <w:r w:rsidR="007762EE">
        <w:t>ed</w:t>
      </w:r>
      <w:r w:rsidR="006C274B">
        <w:t xml:space="preserve"> transparency</w:t>
      </w:r>
      <w:r w:rsidR="001470D8">
        <w:t>,</w:t>
      </w:r>
      <w:r w:rsidR="006C274B">
        <w:t xml:space="preserve"> and trust in the community</w:t>
      </w:r>
      <w:r w:rsidR="007762EE">
        <w:t xml:space="preserve"> by prospective volunteers and donors</w:t>
      </w:r>
      <w:r w:rsidR="006C274B">
        <w:t>.</w:t>
      </w:r>
      <w:r w:rsidR="002D19DE">
        <w:t xml:space="preserve"> </w:t>
      </w:r>
      <w:r w:rsidR="00852458">
        <w:t xml:space="preserve"> </w:t>
      </w:r>
      <w:r w:rsidR="00201B84">
        <w:t xml:space="preserve">The national charities register </w:t>
      </w:r>
      <w:r w:rsidR="00D9643D">
        <w:t xml:space="preserve">has </w:t>
      </w:r>
      <w:r w:rsidR="001470D8">
        <w:t xml:space="preserve">also </w:t>
      </w:r>
      <w:r w:rsidR="00D9643D">
        <w:t>prov</w:t>
      </w:r>
      <w:r w:rsidR="00201B84">
        <w:t>ided invaluable information</w:t>
      </w:r>
      <w:r w:rsidR="00D9643D">
        <w:t>.</w:t>
      </w:r>
    </w:p>
    <w:p w14:paraId="610B8241" w14:textId="2254908D" w:rsidR="008835D7" w:rsidRDefault="00D9643D" w:rsidP="002D19DE">
      <w:pPr>
        <w:ind w:left="360"/>
        <w:rPr>
          <w:lang w:val="en-US"/>
        </w:rPr>
      </w:pPr>
      <w:r>
        <w:t>While t</w:t>
      </w:r>
      <w:r w:rsidR="002D19DE">
        <w:t>he recent history of the NFP sector is framed by gro</w:t>
      </w:r>
      <w:r>
        <w:t xml:space="preserve">wth and reform, </w:t>
      </w:r>
      <w:r w:rsidR="00B15439">
        <w:t xml:space="preserve">new issues </w:t>
      </w:r>
      <w:r w:rsidR="00201B84">
        <w:t xml:space="preserve">are </w:t>
      </w:r>
      <w:r w:rsidR="00B15439">
        <w:t xml:space="preserve">emerging. </w:t>
      </w:r>
      <w:r w:rsidR="00852458">
        <w:t xml:space="preserve"> </w:t>
      </w:r>
      <w:r w:rsidR="002D19DE">
        <w:t xml:space="preserve">The level </w:t>
      </w:r>
      <w:r w:rsidR="00647DCB">
        <w:t xml:space="preserve">volunteering and </w:t>
      </w:r>
      <w:r w:rsidR="002D19DE">
        <w:t xml:space="preserve">individual </w:t>
      </w:r>
      <w:r w:rsidR="00DD3E30">
        <w:t>philanthropic giving</w:t>
      </w:r>
      <w:r w:rsidR="00E92B0F">
        <w:t xml:space="preserve"> as a percentage of income</w:t>
      </w:r>
      <w:r w:rsidR="00DD3E30">
        <w:t xml:space="preserve"> </w:t>
      </w:r>
      <w:r w:rsidR="00711940">
        <w:t xml:space="preserve">has </w:t>
      </w:r>
      <w:r w:rsidR="006C274B">
        <w:t>still not recovered to the high</w:t>
      </w:r>
      <w:r w:rsidR="00A35566">
        <w:t xml:space="preserve">s of </w:t>
      </w:r>
      <w:r>
        <w:t>2009</w:t>
      </w:r>
      <w:r w:rsidR="00DD3E30">
        <w:t>.</w:t>
      </w:r>
      <w:r w:rsidR="00201B84">
        <w:t xml:space="preserve"> </w:t>
      </w:r>
      <w:r w:rsidR="00DD3E30">
        <w:t xml:space="preserve"> A</w:t>
      </w:r>
      <w:r w:rsidR="00190CBD">
        <w:t>t the same time,</w:t>
      </w:r>
      <w:r w:rsidR="002D19DE">
        <w:t xml:space="preserve"> revenue available to governments is effectively falling in real terms against a backdrop of increasing demands and higher community expectations. </w:t>
      </w:r>
      <w:r>
        <w:t xml:space="preserve">  Competition for fundraising and services has increased.</w:t>
      </w:r>
      <w:r w:rsidR="0051598E">
        <w:t xml:space="preserve">  </w:t>
      </w:r>
      <w:r w:rsidR="003B4B1E">
        <w:rPr>
          <w:lang w:val="en-US"/>
        </w:rPr>
        <w:t xml:space="preserve">In the context of recent changes, the NFP sector is slowly but surely </w:t>
      </w:r>
      <w:r w:rsidR="00C536C3">
        <w:rPr>
          <w:lang w:val="en-US"/>
        </w:rPr>
        <w:t>finding its voice</w:t>
      </w:r>
      <w:r w:rsidR="007762EE">
        <w:rPr>
          <w:lang w:val="en-US"/>
        </w:rPr>
        <w:t xml:space="preserve"> -</w:t>
      </w:r>
      <w:r w:rsidR="00C536C3">
        <w:rPr>
          <w:lang w:val="en-US"/>
        </w:rPr>
        <w:t xml:space="preserve"> building its </w:t>
      </w:r>
      <w:r w:rsidR="00D44F1C">
        <w:rPr>
          <w:lang w:val="en-US"/>
        </w:rPr>
        <w:t xml:space="preserve">collective </w:t>
      </w:r>
      <w:r w:rsidR="00C536C3">
        <w:rPr>
          <w:lang w:val="en-US"/>
        </w:rPr>
        <w:t>power and seeking real reform</w:t>
      </w:r>
      <w:r w:rsidR="00D44F1C">
        <w:rPr>
          <w:lang w:val="en-US"/>
        </w:rPr>
        <w:t xml:space="preserve"> that will provide</w:t>
      </w:r>
      <w:r w:rsidR="00F7617E">
        <w:rPr>
          <w:lang w:val="en-US"/>
        </w:rPr>
        <w:t xml:space="preserve"> </w:t>
      </w:r>
      <w:r w:rsidR="00C744BB">
        <w:rPr>
          <w:lang w:val="en-US"/>
        </w:rPr>
        <w:t>substantial</w:t>
      </w:r>
      <w:r w:rsidR="008835D7">
        <w:rPr>
          <w:lang w:val="en-US"/>
        </w:rPr>
        <w:t xml:space="preserve"> </w:t>
      </w:r>
      <w:r w:rsidR="00285E93">
        <w:rPr>
          <w:lang w:val="en-US"/>
        </w:rPr>
        <w:t>savings to government</w:t>
      </w:r>
      <w:r w:rsidR="00201B84">
        <w:rPr>
          <w:lang w:val="en-US"/>
        </w:rPr>
        <w:t xml:space="preserve"> as well as</w:t>
      </w:r>
      <w:r w:rsidR="00285E93">
        <w:rPr>
          <w:lang w:val="en-US"/>
        </w:rPr>
        <w:t xml:space="preserve"> tangible benefits to the community</w:t>
      </w:r>
      <w:r w:rsidR="00C536C3">
        <w:rPr>
          <w:lang w:val="en-US"/>
        </w:rPr>
        <w:t xml:space="preserve">.  </w:t>
      </w:r>
    </w:p>
    <w:p w14:paraId="6B364F45" w14:textId="7E4AD3B0" w:rsidR="004B1D99" w:rsidRDefault="002D19DE" w:rsidP="004B1D99">
      <w:pPr>
        <w:ind w:left="360"/>
        <w:rPr>
          <w:lang w:val="en-US"/>
        </w:rPr>
      </w:pPr>
      <w:r>
        <w:rPr>
          <w:lang w:val="en-US"/>
        </w:rPr>
        <w:t xml:space="preserve">Given the size of the sector and its critical role in our community, the </w:t>
      </w:r>
      <w:r w:rsidR="003A0045">
        <w:rPr>
          <w:lang w:val="en-US"/>
        </w:rPr>
        <w:t>F</w:t>
      </w:r>
      <w:r>
        <w:rPr>
          <w:lang w:val="en-US"/>
        </w:rPr>
        <w:t xml:space="preserve">ederal </w:t>
      </w:r>
      <w:r w:rsidR="003A0045">
        <w:rPr>
          <w:lang w:val="en-US"/>
        </w:rPr>
        <w:t>G</w:t>
      </w:r>
      <w:r>
        <w:rPr>
          <w:lang w:val="en-US"/>
        </w:rPr>
        <w:t xml:space="preserve">overnment </w:t>
      </w:r>
      <w:r w:rsidR="00D44F1C">
        <w:rPr>
          <w:lang w:val="en-US"/>
        </w:rPr>
        <w:t>can achieve real</w:t>
      </w:r>
      <w:r w:rsidR="008835D7">
        <w:rPr>
          <w:lang w:val="en-US"/>
        </w:rPr>
        <w:t xml:space="preserve"> economic and social benefits if it </w:t>
      </w:r>
      <w:r>
        <w:rPr>
          <w:lang w:val="en-US"/>
        </w:rPr>
        <w:t>chooses to</w:t>
      </w:r>
      <w:r w:rsidR="00C91617">
        <w:rPr>
          <w:lang w:val="en-US"/>
        </w:rPr>
        <w:t xml:space="preserve"> strategically</w:t>
      </w:r>
      <w:r>
        <w:rPr>
          <w:lang w:val="en-US"/>
        </w:rPr>
        <w:t xml:space="preserve"> invest in </w:t>
      </w:r>
      <w:r w:rsidR="008835D7">
        <w:rPr>
          <w:lang w:val="en-US"/>
        </w:rPr>
        <w:t>strengthening our communities and our NFPs</w:t>
      </w:r>
      <w:r w:rsidR="00201B84">
        <w:rPr>
          <w:lang w:val="en-US"/>
        </w:rPr>
        <w:t xml:space="preserve">.  </w:t>
      </w:r>
      <w:r w:rsidR="004B1D99">
        <w:rPr>
          <w:lang w:val="en-US"/>
        </w:rPr>
        <w:t xml:space="preserve">There have been numerous reports and recommendations relating to the NFP sector over the last decade, but </w:t>
      </w:r>
      <w:r w:rsidR="00E92B0F">
        <w:rPr>
          <w:lang w:val="en-US"/>
        </w:rPr>
        <w:t>relatively few have been acted upon.</w:t>
      </w:r>
    </w:p>
    <w:p w14:paraId="7C6B9DBE" w14:textId="57876365" w:rsidR="002E48E6" w:rsidRDefault="00ED7AA4" w:rsidP="004B1D99">
      <w:pPr>
        <w:ind w:left="360"/>
        <w:rPr>
          <w:lang w:val="en-US"/>
        </w:rPr>
      </w:pPr>
      <w:r>
        <w:rPr>
          <w:lang w:val="en-US"/>
        </w:rPr>
        <w:t xml:space="preserve">In seeking to enhance public trust and confidence in charities and NFPs, it has been important to encourage those with any concerns or knowledge of wrongdoing to come forward and raise their concerns. </w:t>
      </w:r>
    </w:p>
    <w:p w14:paraId="77B1DE53" w14:textId="74356B72" w:rsidR="00C84B58" w:rsidRDefault="00ED7AA4" w:rsidP="004B1D99">
      <w:pPr>
        <w:ind w:left="360"/>
        <w:rPr>
          <w:rFonts w:asciiTheme="majorHAnsi" w:hAnsiTheme="majorHAnsi"/>
          <w:b/>
          <w:sz w:val="28"/>
          <w:szCs w:val="28"/>
          <w:lang w:val="en-US"/>
        </w:rPr>
      </w:pPr>
      <w:r>
        <w:rPr>
          <w:lang w:val="en-US"/>
        </w:rPr>
        <w:t xml:space="preserve">The primary avenue for raising concerns once </w:t>
      </w:r>
      <w:r w:rsidR="00647DCB">
        <w:rPr>
          <w:lang w:val="en-US"/>
        </w:rPr>
        <w:t>options</w:t>
      </w:r>
      <w:r>
        <w:rPr>
          <w:lang w:val="en-US"/>
        </w:rPr>
        <w:t xml:space="preserve"> within organisations have been explored is often the ACNC, but there are several other options that relate to the specific area in which a</w:t>
      </w:r>
      <w:r w:rsidR="00647DCB">
        <w:rPr>
          <w:lang w:val="en-US"/>
        </w:rPr>
        <w:t>n NFP</w:t>
      </w:r>
      <w:r>
        <w:rPr>
          <w:lang w:val="en-US"/>
        </w:rPr>
        <w:t xml:space="preserve"> might be operating.  Despite these various mechanisms, </w:t>
      </w:r>
      <w:r w:rsidR="00647DCB">
        <w:rPr>
          <w:lang w:val="en-US"/>
        </w:rPr>
        <w:t>i</w:t>
      </w:r>
      <w:r>
        <w:rPr>
          <w:lang w:val="en-US"/>
        </w:rPr>
        <w:t>t is not clear that appropriate whistleblower protections are in place across the NFP sector.</w:t>
      </w:r>
      <w:r w:rsidR="00C84B58">
        <w:rPr>
          <w:rFonts w:asciiTheme="majorHAnsi" w:hAnsiTheme="majorHAnsi"/>
          <w:b/>
          <w:sz w:val="28"/>
          <w:szCs w:val="28"/>
          <w:lang w:val="en-US"/>
        </w:rPr>
        <w:br w:type="page"/>
      </w:r>
    </w:p>
    <w:p w14:paraId="7D8EEBFD" w14:textId="43B7066A" w:rsidR="00ED7AA4" w:rsidRDefault="002E48E6" w:rsidP="00ED7AA4">
      <w:pPr>
        <w:rPr>
          <w:rFonts w:asciiTheme="majorHAnsi" w:hAnsiTheme="majorHAnsi"/>
          <w:b/>
          <w:sz w:val="28"/>
          <w:szCs w:val="28"/>
          <w:lang w:val="en-US"/>
        </w:rPr>
      </w:pPr>
      <w:r>
        <w:rPr>
          <w:rFonts w:asciiTheme="majorHAnsi" w:hAnsiTheme="majorHAnsi"/>
          <w:b/>
          <w:sz w:val="28"/>
          <w:szCs w:val="28"/>
          <w:lang w:val="en-US"/>
        </w:rPr>
        <w:lastRenderedPageBreak/>
        <w:t xml:space="preserve">Key </w:t>
      </w:r>
      <w:r w:rsidR="0026444E">
        <w:rPr>
          <w:rFonts w:asciiTheme="majorHAnsi" w:hAnsiTheme="majorHAnsi"/>
          <w:b/>
          <w:sz w:val="28"/>
          <w:szCs w:val="28"/>
          <w:lang w:val="en-US"/>
        </w:rPr>
        <w:t>issue</w:t>
      </w:r>
      <w:r w:rsidR="00647DCB">
        <w:rPr>
          <w:rFonts w:asciiTheme="majorHAnsi" w:hAnsiTheme="majorHAnsi"/>
          <w:b/>
          <w:sz w:val="28"/>
          <w:szCs w:val="28"/>
          <w:lang w:val="en-US"/>
        </w:rPr>
        <w:t xml:space="preserve">s relating to </w:t>
      </w:r>
      <w:r w:rsidR="00ED7AA4">
        <w:rPr>
          <w:rFonts w:asciiTheme="majorHAnsi" w:hAnsiTheme="majorHAnsi"/>
          <w:b/>
          <w:sz w:val="28"/>
          <w:szCs w:val="28"/>
          <w:lang w:val="en-US"/>
        </w:rPr>
        <w:t>whistleblower prot</w:t>
      </w:r>
      <w:r>
        <w:rPr>
          <w:rFonts w:asciiTheme="majorHAnsi" w:hAnsiTheme="majorHAnsi"/>
          <w:b/>
          <w:sz w:val="28"/>
          <w:szCs w:val="28"/>
          <w:lang w:val="en-US"/>
        </w:rPr>
        <w:t xml:space="preserve">ections </w:t>
      </w:r>
      <w:r w:rsidR="00647DCB">
        <w:rPr>
          <w:rFonts w:asciiTheme="majorHAnsi" w:hAnsiTheme="majorHAnsi"/>
          <w:b/>
          <w:sz w:val="28"/>
          <w:szCs w:val="28"/>
          <w:lang w:val="en-US"/>
        </w:rPr>
        <w:t xml:space="preserve">and </w:t>
      </w:r>
      <w:r w:rsidR="00ED7AA4">
        <w:rPr>
          <w:rFonts w:asciiTheme="majorHAnsi" w:hAnsiTheme="majorHAnsi"/>
          <w:b/>
          <w:sz w:val="28"/>
          <w:szCs w:val="28"/>
          <w:lang w:val="en-US"/>
        </w:rPr>
        <w:t>the NFP sector</w:t>
      </w:r>
    </w:p>
    <w:p w14:paraId="7E9C7ADD" w14:textId="32BE73A1" w:rsidR="00D943BB" w:rsidRDefault="00D943BB" w:rsidP="00ED7AA4">
      <w:pPr>
        <w:rPr>
          <w:rFonts w:asciiTheme="majorHAnsi" w:hAnsiTheme="majorHAnsi"/>
          <w:b/>
          <w:sz w:val="28"/>
          <w:szCs w:val="28"/>
          <w:lang w:val="en-US"/>
        </w:rPr>
      </w:pPr>
    </w:p>
    <w:p w14:paraId="0D02D704" w14:textId="77777777" w:rsidR="00D943BB" w:rsidRDefault="00D943BB" w:rsidP="00D943BB">
      <w:pPr>
        <w:pStyle w:val="ListParagraph"/>
        <w:numPr>
          <w:ilvl w:val="0"/>
          <w:numId w:val="43"/>
        </w:numPr>
        <w:rPr>
          <w:rFonts w:asciiTheme="majorHAnsi" w:hAnsiTheme="majorHAnsi"/>
          <w:b/>
          <w:sz w:val="28"/>
          <w:szCs w:val="28"/>
          <w:lang w:val="en-US"/>
        </w:rPr>
      </w:pPr>
      <w:r>
        <w:rPr>
          <w:rFonts w:asciiTheme="majorHAnsi" w:hAnsiTheme="majorHAnsi"/>
          <w:b/>
          <w:sz w:val="28"/>
          <w:szCs w:val="28"/>
          <w:lang w:val="en-US"/>
        </w:rPr>
        <w:t xml:space="preserve"> Support for whistleblowers</w:t>
      </w:r>
    </w:p>
    <w:p w14:paraId="33C1B739" w14:textId="67B85D40" w:rsidR="00D943BB" w:rsidRDefault="00D943BB" w:rsidP="00D943BB">
      <w:pPr>
        <w:rPr>
          <w:rFonts w:cstheme="minorHAnsi"/>
          <w:lang w:val="en-US"/>
        </w:rPr>
      </w:pPr>
      <w:r>
        <w:rPr>
          <w:rFonts w:cstheme="minorHAnsi"/>
          <w:lang w:val="en-US"/>
        </w:rPr>
        <w:t>There are few, if any, NFPs who do not support the importance of ensuring whistleblowers are encouraged to come forward and identify inappropriate practices</w:t>
      </w:r>
      <w:r w:rsidR="00F931A8">
        <w:rPr>
          <w:rFonts w:cstheme="minorHAnsi"/>
          <w:lang w:val="en-US"/>
        </w:rPr>
        <w:t xml:space="preserve"> within their organisations.  Of course, the principle of supporting whistleblowers and the practice may not always align.</w:t>
      </w:r>
      <w:r>
        <w:rPr>
          <w:rFonts w:cstheme="minorHAnsi"/>
          <w:lang w:val="en-US"/>
        </w:rPr>
        <w:t xml:space="preserve">  </w:t>
      </w:r>
    </w:p>
    <w:p w14:paraId="4D497FE6" w14:textId="7B244CAD" w:rsidR="00F931A8" w:rsidRDefault="00D943BB" w:rsidP="00D943BB">
      <w:pPr>
        <w:rPr>
          <w:rFonts w:cstheme="minorHAnsi"/>
          <w:lang w:val="en-US"/>
        </w:rPr>
      </w:pPr>
      <w:r>
        <w:rPr>
          <w:rFonts w:cstheme="minorHAnsi"/>
          <w:lang w:val="en-US"/>
        </w:rPr>
        <w:t xml:space="preserve">The NFP sector has </w:t>
      </w:r>
      <w:r w:rsidR="00F931A8">
        <w:rPr>
          <w:rFonts w:cstheme="minorHAnsi"/>
          <w:lang w:val="en-US"/>
        </w:rPr>
        <w:t>a good tr</w:t>
      </w:r>
      <w:r w:rsidR="0026444E">
        <w:rPr>
          <w:rFonts w:cstheme="minorHAnsi"/>
          <w:lang w:val="en-US"/>
        </w:rPr>
        <w:t>ack record in supporting transparency and</w:t>
      </w:r>
      <w:r w:rsidR="00F931A8">
        <w:rPr>
          <w:rFonts w:cstheme="minorHAnsi"/>
          <w:lang w:val="en-US"/>
        </w:rPr>
        <w:t xml:space="preserve"> accountability.  The </w:t>
      </w:r>
      <w:r w:rsidR="0026444E">
        <w:rPr>
          <w:rFonts w:cstheme="minorHAnsi"/>
          <w:lang w:val="en-US"/>
        </w:rPr>
        <w:t xml:space="preserve">NFP </w:t>
      </w:r>
      <w:r w:rsidR="00F931A8">
        <w:rPr>
          <w:rFonts w:cstheme="minorHAnsi"/>
          <w:lang w:val="en-US"/>
        </w:rPr>
        <w:t xml:space="preserve">sector </w:t>
      </w:r>
      <w:r>
        <w:rPr>
          <w:rFonts w:cstheme="minorHAnsi"/>
          <w:lang w:val="en-US"/>
        </w:rPr>
        <w:t>strongly supported and endorsed the establishment of the ACNC part</w:t>
      </w:r>
      <w:r w:rsidR="00F931A8">
        <w:rPr>
          <w:rFonts w:cstheme="minorHAnsi"/>
          <w:lang w:val="en-US"/>
        </w:rPr>
        <w:t>ly because NFPs</w:t>
      </w:r>
      <w:r>
        <w:rPr>
          <w:rFonts w:cstheme="minorHAnsi"/>
          <w:lang w:val="en-US"/>
        </w:rPr>
        <w:t xml:space="preserve"> </w:t>
      </w:r>
      <w:r w:rsidR="00F931A8">
        <w:rPr>
          <w:rFonts w:cstheme="minorHAnsi"/>
          <w:lang w:val="en-US"/>
        </w:rPr>
        <w:t>recognize</w:t>
      </w:r>
      <w:r>
        <w:rPr>
          <w:rFonts w:cstheme="minorHAnsi"/>
          <w:lang w:val="en-US"/>
        </w:rPr>
        <w:t xml:space="preserve"> that </w:t>
      </w:r>
      <w:r w:rsidR="00F931A8">
        <w:rPr>
          <w:rFonts w:cstheme="minorHAnsi"/>
          <w:lang w:val="en-US"/>
        </w:rPr>
        <w:t>ridding the sector of bad practices</w:t>
      </w:r>
      <w:r w:rsidR="0026444E">
        <w:rPr>
          <w:rFonts w:cstheme="minorHAnsi"/>
          <w:lang w:val="en-US"/>
        </w:rPr>
        <w:t xml:space="preserve"> </w:t>
      </w:r>
      <w:r w:rsidR="00F931A8">
        <w:rPr>
          <w:rFonts w:cstheme="minorHAnsi"/>
          <w:lang w:val="en-US"/>
        </w:rPr>
        <w:t>strengthens the sector.</w:t>
      </w:r>
    </w:p>
    <w:p w14:paraId="1110D161" w14:textId="34196521" w:rsidR="00D943BB" w:rsidRDefault="00D943BB" w:rsidP="00D943BB">
      <w:pPr>
        <w:rPr>
          <w:rFonts w:cstheme="minorHAnsi"/>
          <w:lang w:val="en-US"/>
        </w:rPr>
      </w:pPr>
      <w:r>
        <w:rPr>
          <w:rFonts w:cstheme="minorHAnsi"/>
          <w:lang w:val="en-US"/>
        </w:rPr>
        <w:t>CCA strongly supports the goal of providing appropriate protections to whistleblowers raising concerns in relation to the practices of NFPs.</w:t>
      </w:r>
    </w:p>
    <w:p w14:paraId="0F1298F3" w14:textId="3576C8A8" w:rsidR="00D943BB" w:rsidRDefault="00D943BB" w:rsidP="00ED7AA4">
      <w:pPr>
        <w:rPr>
          <w:rFonts w:asciiTheme="majorHAnsi" w:hAnsiTheme="majorHAnsi"/>
          <w:b/>
          <w:sz w:val="28"/>
          <w:szCs w:val="28"/>
          <w:lang w:val="en-US"/>
        </w:rPr>
      </w:pPr>
    </w:p>
    <w:p w14:paraId="17F74391" w14:textId="71C12D6F" w:rsidR="00ED7AA4" w:rsidRPr="00ED7AA4" w:rsidRDefault="00ED7AA4" w:rsidP="00D943BB">
      <w:pPr>
        <w:pStyle w:val="ListParagraph"/>
        <w:numPr>
          <w:ilvl w:val="0"/>
          <w:numId w:val="43"/>
        </w:numPr>
        <w:rPr>
          <w:rFonts w:asciiTheme="majorHAnsi" w:hAnsiTheme="majorHAnsi"/>
          <w:b/>
          <w:sz w:val="28"/>
          <w:szCs w:val="28"/>
          <w:lang w:val="en-US"/>
        </w:rPr>
      </w:pPr>
      <w:r>
        <w:rPr>
          <w:rFonts w:asciiTheme="majorHAnsi" w:hAnsiTheme="majorHAnsi"/>
          <w:b/>
          <w:sz w:val="28"/>
          <w:szCs w:val="28"/>
          <w:lang w:val="en-US"/>
        </w:rPr>
        <w:t xml:space="preserve"> Existing practice</w:t>
      </w:r>
      <w:r w:rsidR="002E48E6">
        <w:rPr>
          <w:rFonts w:asciiTheme="majorHAnsi" w:hAnsiTheme="majorHAnsi"/>
          <w:b/>
          <w:sz w:val="28"/>
          <w:szCs w:val="28"/>
          <w:lang w:val="en-US"/>
        </w:rPr>
        <w:t xml:space="preserve"> – the need to identify good and bad p</w:t>
      </w:r>
      <w:r w:rsidR="0026444E">
        <w:rPr>
          <w:rFonts w:asciiTheme="majorHAnsi" w:hAnsiTheme="majorHAnsi"/>
          <w:b/>
          <w:sz w:val="28"/>
          <w:szCs w:val="28"/>
          <w:lang w:val="en-US"/>
        </w:rPr>
        <w:t>olicy</w:t>
      </w:r>
    </w:p>
    <w:p w14:paraId="169227DA" w14:textId="5C3CFC44" w:rsidR="00ED7AA4" w:rsidRDefault="00ED7AA4" w:rsidP="00ED7AA4">
      <w:pPr>
        <w:rPr>
          <w:rFonts w:cstheme="minorHAnsi"/>
          <w:lang w:val="en-US"/>
        </w:rPr>
      </w:pPr>
      <w:r w:rsidRPr="002E48E6">
        <w:rPr>
          <w:rFonts w:cstheme="minorHAnsi"/>
          <w:lang w:val="en-US"/>
        </w:rPr>
        <w:t xml:space="preserve">It is not at all clear that </w:t>
      </w:r>
      <w:r w:rsidR="0026444E">
        <w:rPr>
          <w:rFonts w:cstheme="minorHAnsi"/>
          <w:lang w:val="en-US"/>
        </w:rPr>
        <w:t>there are good</w:t>
      </w:r>
      <w:r w:rsidRPr="002E48E6">
        <w:rPr>
          <w:rFonts w:cstheme="minorHAnsi"/>
          <w:lang w:val="en-US"/>
        </w:rPr>
        <w:t xml:space="preserve"> whistleblower protections for</w:t>
      </w:r>
      <w:r w:rsidR="0026444E">
        <w:rPr>
          <w:rFonts w:cstheme="minorHAnsi"/>
          <w:lang w:val="en-US"/>
        </w:rPr>
        <w:t xml:space="preserve"> all</w:t>
      </w:r>
      <w:r w:rsidRPr="002E48E6">
        <w:rPr>
          <w:rFonts w:cstheme="minorHAnsi"/>
          <w:lang w:val="en-US"/>
        </w:rPr>
        <w:t xml:space="preserve"> people working within or as part of the NFP sector.  This is not to say no protections exist, but the nature of those protections seems to vary considerably from well-developed codes of conduct (an example of this might be the Australian Council for International Development Code of Conduct)</w:t>
      </w:r>
      <w:r w:rsidR="009A6434" w:rsidRPr="002E48E6">
        <w:rPr>
          <w:rFonts w:cstheme="minorHAnsi"/>
          <w:lang w:val="en-US"/>
        </w:rPr>
        <w:t xml:space="preserve"> to almost no documented protections at all.</w:t>
      </w:r>
      <w:r w:rsidR="00F931A8">
        <w:rPr>
          <w:rFonts w:cstheme="minorHAnsi"/>
          <w:lang w:val="en-US"/>
        </w:rPr>
        <w:t xml:space="preserve">  Many NFPs operate within areas such as education or health where the application of broader whistleblower protection obligations are integral to employment practices.</w:t>
      </w:r>
    </w:p>
    <w:p w14:paraId="0186B16E" w14:textId="1F137A6F" w:rsidR="002E48E6" w:rsidRDefault="002E48E6" w:rsidP="00ED7AA4">
      <w:pPr>
        <w:rPr>
          <w:rFonts w:cstheme="minorHAnsi"/>
          <w:lang w:val="en-US"/>
        </w:rPr>
      </w:pPr>
      <w:r>
        <w:rPr>
          <w:rFonts w:cstheme="minorHAnsi"/>
          <w:lang w:val="en-US"/>
        </w:rPr>
        <w:t>There is no doubt that good practice already exists in some areas, just as there is no doubt inadequate provisions apply in some parts of the NFP sector.</w:t>
      </w:r>
    </w:p>
    <w:p w14:paraId="751FF839" w14:textId="6212C214" w:rsidR="002E48E6" w:rsidRDefault="002E48E6" w:rsidP="002E48E6">
      <w:pPr>
        <w:rPr>
          <w:rFonts w:cstheme="minorHAnsi"/>
          <w:lang w:val="en-US"/>
        </w:rPr>
      </w:pPr>
      <w:r>
        <w:rPr>
          <w:rFonts w:cstheme="minorHAnsi"/>
          <w:lang w:val="en-US"/>
        </w:rPr>
        <w:t>Prior to developing and imposing whistleblower protections on the NFP sector, CCA believe it is necessary to engage in an extensive consultation to identify the extent and nature of existing whistleblower provisions.</w:t>
      </w:r>
      <w:r>
        <w:rPr>
          <w:rFonts w:cstheme="minorHAnsi"/>
          <w:lang w:val="en-US"/>
        </w:rPr>
        <w:t xml:space="preserve">  Developing and imposing new protections without taking current practice into account risks creating less effective protections for some whistleblowers.</w:t>
      </w:r>
    </w:p>
    <w:p w14:paraId="6AC8C63D" w14:textId="4BABCBA9" w:rsidR="00ED7AA4" w:rsidRDefault="00ED7AA4" w:rsidP="00ED7AA4">
      <w:pPr>
        <w:rPr>
          <w:rFonts w:asciiTheme="majorHAnsi" w:hAnsiTheme="majorHAnsi"/>
          <w:b/>
          <w:sz w:val="28"/>
          <w:szCs w:val="28"/>
          <w:lang w:val="en-US"/>
        </w:rPr>
      </w:pPr>
    </w:p>
    <w:p w14:paraId="04E9E1C2" w14:textId="5B9CB5BD" w:rsidR="00F931A8" w:rsidRPr="00F931A8" w:rsidRDefault="00F931A8" w:rsidP="00F931A8">
      <w:pPr>
        <w:pStyle w:val="ListParagraph"/>
        <w:numPr>
          <w:ilvl w:val="0"/>
          <w:numId w:val="43"/>
        </w:numPr>
        <w:rPr>
          <w:rFonts w:asciiTheme="majorHAnsi" w:hAnsiTheme="majorHAnsi"/>
          <w:b/>
          <w:sz w:val="28"/>
          <w:szCs w:val="28"/>
          <w:lang w:val="en-US"/>
        </w:rPr>
      </w:pPr>
      <w:r>
        <w:rPr>
          <w:rFonts w:asciiTheme="majorHAnsi" w:hAnsiTheme="majorHAnsi"/>
          <w:b/>
          <w:sz w:val="28"/>
          <w:szCs w:val="28"/>
          <w:lang w:val="en-US"/>
        </w:rPr>
        <w:t>Scaling the response</w:t>
      </w:r>
    </w:p>
    <w:p w14:paraId="366B9FE6" w14:textId="7D472A67" w:rsidR="002E48E6" w:rsidRPr="00F931A8" w:rsidRDefault="00F931A8" w:rsidP="00ED7AA4">
      <w:pPr>
        <w:rPr>
          <w:rFonts w:cstheme="minorHAnsi"/>
          <w:lang w:val="en-US"/>
        </w:rPr>
      </w:pPr>
      <w:r w:rsidRPr="00F931A8">
        <w:rPr>
          <w:rFonts w:cstheme="minorHAnsi"/>
          <w:lang w:val="en-US"/>
        </w:rPr>
        <w:t xml:space="preserve">One of the major concerns for many across the NFP sector is the appropriate scaling of requirements not only in relation to whistleblower protections but </w:t>
      </w:r>
      <w:r w:rsidR="0026444E">
        <w:rPr>
          <w:rFonts w:cstheme="minorHAnsi"/>
          <w:lang w:val="en-US"/>
        </w:rPr>
        <w:t xml:space="preserve">also </w:t>
      </w:r>
      <w:r w:rsidRPr="00F931A8">
        <w:rPr>
          <w:rFonts w:cstheme="minorHAnsi"/>
          <w:lang w:val="en-US"/>
        </w:rPr>
        <w:t>in relation to other areas of reporting and accountability.</w:t>
      </w:r>
    </w:p>
    <w:p w14:paraId="5D651BD5" w14:textId="7B92307D" w:rsidR="002E48E6" w:rsidRDefault="00F931A8" w:rsidP="00ED7AA4">
      <w:pPr>
        <w:rPr>
          <w:rFonts w:cstheme="minorHAnsi"/>
          <w:lang w:val="en-US"/>
        </w:rPr>
      </w:pPr>
      <w:r w:rsidRPr="00F931A8">
        <w:rPr>
          <w:rFonts w:cstheme="minorHAnsi"/>
          <w:lang w:val="en-US"/>
        </w:rPr>
        <w:t>The vast majority of NFPs have a total income of less than $100,000.  While most of us are aware of the</w:t>
      </w:r>
      <w:r w:rsidR="00320A11">
        <w:rPr>
          <w:rFonts w:cstheme="minorHAnsi"/>
          <w:lang w:val="en-US"/>
        </w:rPr>
        <w:t xml:space="preserve"> </w:t>
      </w:r>
      <w:r w:rsidR="0026444E">
        <w:rPr>
          <w:rFonts w:cstheme="minorHAnsi"/>
          <w:lang w:val="en-US"/>
        </w:rPr>
        <w:t>outstanding work of many</w:t>
      </w:r>
      <w:r w:rsidR="00320A11">
        <w:rPr>
          <w:rFonts w:cstheme="minorHAnsi"/>
          <w:lang w:val="en-US"/>
        </w:rPr>
        <w:t xml:space="preserve"> big-</w:t>
      </w:r>
      <w:r w:rsidRPr="00F931A8">
        <w:rPr>
          <w:rFonts w:cstheme="minorHAnsi"/>
          <w:lang w:val="en-US"/>
        </w:rPr>
        <w:t>name charities, it is important to remember that the</w:t>
      </w:r>
      <w:r w:rsidR="0026444E">
        <w:rPr>
          <w:rFonts w:cstheme="minorHAnsi"/>
          <w:lang w:val="en-US"/>
        </w:rPr>
        <w:t>se larger national charities</w:t>
      </w:r>
      <w:r w:rsidR="00320A11">
        <w:rPr>
          <w:rFonts w:cstheme="minorHAnsi"/>
          <w:lang w:val="en-US"/>
        </w:rPr>
        <w:t xml:space="preserve"> are the exception.  The</w:t>
      </w:r>
      <w:r w:rsidRPr="00F931A8">
        <w:rPr>
          <w:rFonts w:cstheme="minorHAnsi"/>
          <w:lang w:val="en-US"/>
        </w:rPr>
        <w:t xml:space="preserve"> top 10% of charities receive 90% of the income earned by all charities.</w:t>
      </w:r>
    </w:p>
    <w:p w14:paraId="63442AE7" w14:textId="386D4030" w:rsidR="00320A11" w:rsidRPr="00F931A8" w:rsidRDefault="00320A11" w:rsidP="00ED7AA4">
      <w:pPr>
        <w:rPr>
          <w:rFonts w:cstheme="minorHAnsi"/>
          <w:lang w:val="en-US"/>
        </w:rPr>
      </w:pPr>
      <w:r>
        <w:rPr>
          <w:rFonts w:cstheme="minorHAnsi"/>
          <w:lang w:val="en-US"/>
        </w:rPr>
        <w:t>Small organisations who may or may not have paid staff should not have to fulfill unrealistic requirements.</w:t>
      </w:r>
    </w:p>
    <w:p w14:paraId="4C89A09B" w14:textId="6BB4C61F" w:rsidR="00ED7AA4" w:rsidRPr="00F931A8" w:rsidRDefault="00320A11" w:rsidP="00ED7AA4">
      <w:pPr>
        <w:rPr>
          <w:rFonts w:cstheme="minorHAnsi"/>
          <w:lang w:val="en-US"/>
        </w:rPr>
      </w:pPr>
      <w:r>
        <w:rPr>
          <w:rFonts w:cstheme="minorHAnsi"/>
          <w:lang w:val="en-US"/>
        </w:rPr>
        <w:t xml:space="preserve">CCA strongly believe any proposal to implement new whistleblower protection requirements across the whole NFP sector needs to allow for </w:t>
      </w:r>
      <w:r w:rsidR="0026444E">
        <w:rPr>
          <w:rFonts w:cstheme="minorHAnsi"/>
          <w:lang w:val="en-US"/>
        </w:rPr>
        <w:t xml:space="preserve">appropriate </w:t>
      </w:r>
      <w:r>
        <w:rPr>
          <w:rFonts w:cstheme="minorHAnsi"/>
          <w:lang w:val="en-US"/>
        </w:rPr>
        <w:t>scale and size to be taken into account when setting obligations.</w:t>
      </w:r>
    </w:p>
    <w:p w14:paraId="7F1E65BB" w14:textId="0ADB3D46" w:rsidR="00775555" w:rsidRDefault="00775555" w:rsidP="00775555"/>
    <w:p w14:paraId="68036790" w14:textId="77777777" w:rsidR="00DC358C" w:rsidRDefault="00DC358C" w:rsidP="00320A11">
      <w:pPr>
        <w:pStyle w:val="ListParagraph"/>
        <w:numPr>
          <w:ilvl w:val="0"/>
          <w:numId w:val="43"/>
        </w:numPr>
        <w:rPr>
          <w:rFonts w:asciiTheme="majorHAnsi" w:hAnsiTheme="majorHAnsi"/>
          <w:b/>
          <w:sz w:val="28"/>
          <w:szCs w:val="28"/>
          <w:lang w:val="en-US"/>
        </w:rPr>
      </w:pPr>
      <w:r>
        <w:rPr>
          <w:rFonts w:asciiTheme="majorHAnsi" w:hAnsiTheme="majorHAnsi"/>
          <w:b/>
          <w:sz w:val="28"/>
          <w:szCs w:val="28"/>
          <w:lang w:val="en-US"/>
        </w:rPr>
        <w:t>The role of regulators</w:t>
      </w:r>
    </w:p>
    <w:p w14:paraId="683E0D86" w14:textId="1C7AFE0C" w:rsidR="00E32756" w:rsidRDefault="00DC358C" w:rsidP="00775555">
      <w:r>
        <w:t xml:space="preserve">The NFP sector strongly supports the role of the ACNC.  The performance of the ACNC to date suggests that many with concerns about </w:t>
      </w:r>
      <w:r w:rsidR="0026444E">
        <w:t xml:space="preserve">inappropriate </w:t>
      </w:r>
      <w:r>
        <w:t xml:space="preserve">practices in Australian </w:t>
      </w:r>
      <w:r w:rsidR="00D509DB">
        <w:t>charities</w:t>
      </w:r>
      <w:r w:rsidR="0026444E">
        <w:t xml:space="preserve"> are prepared to use the ACNC to raise their concerns</w:t>
      </w:r>
      <w:r w:rsidR="00D509DB">
        <w:t>.  Over 1000 complaints have been made.  There is considerable work to be done around how information about these complaints and their investigation by the ACNC is reported publicly, particularly if the ACNC is to better contribute to enhancing public trust and confidence in charities.  While the current secrecy provisions around complaints seem to offer some protections to whistleblowers</w:t>
      </w:r>
      <w:r w:rsidR="00991E28">
        <w:t xml:space="preserve"> who rise their concerns with</w:t>
      </w:r>
      <w:r w:rsidR="00D509DB">
        <w:t xml:space="preserve"> the A</w:t>
      </w:r>
      <w:r w:rsidR="00991E28">
        <w:t>CNC</w:t>
      </w:r>
      <w:r w:rsidR="00D509DB">
        <w:t>, the policies in relation to protection of whistleblowers are not fully formed or well communicated.</w:t>
      </w:r>
      <w:r w:rsidR="00991E28">
        <w:t xml:space="preserve">  The ACNC has a role in providing an avenue to whistleblowers, there is work to be done about ensuring it is an effective avenue for whistleblowers.</w:t>
      </w:r>
    </w:p>
    <w:p w14:paraId="3FE3EE7F" w14:textId="0F0126B3" w:rsidR="00DC358C" w:rsidRDefault="00DC358C" w:rsidP="00775555"/>
    <w:p w14:paraId="3A3657E0" w14:textId="77777777" w:rsidR="00DC358C" w:rsidRDefault="00DC358C" w:rsidP="00775555"/>
    <w:p w14:paraId="0678A23C" w14:textId="77777777" w:rsidR="00DC358C" w:rsidRPr="00E32756" w:rsidRDefault="00DC358C" w:rsidP="00DC358C">
      <w:pPr>
        <w:pStyle w:val="ListParagraph"/>
        <w:numPr>
          <w:ilvl w:val="0"/>
          <w:numId w:val="43"/>
        </w:numPr>
        <w:rPr>
          <w:rFonts w:asciiTheme="majorHAnsi" w:hAnsiTheme="majorHAnsi"/>
          <w:b/>
          <w:sz w:val="28"/>
          <w:szCs w:val="28"/>
          <w:lang w:val="en-US"/>
        </w:rPr>
      </w:pPr>
      <w:r w:rsidRPr="00E32756">
        <w:rPr>
          <w:rFonts w:asciiTheme="majorHAnsi" w:hAnsiTheme="majorHAnsi"/>
          <w:b/>
          <w:sz w:val="28"/>
          <w:szCs w:val="28"/>
          <w:lang w:val="en-US"/>
        </w:rPr>
        <w:t>Next steps</w:t>
      </w:r>
    </w:p>
    <w:p w14:paraId="4390066D" w14:textId="77777777" w:rsidR="00DC358C" w:rsidRDefault="00DC358C" w:rsidP="00DC358C">
      <w:r>
        <w:t xml:space="preserve">CCA is very interested in ensuring any whistleblower protections are going to improve the situation for whistleblowers without having a detrimental impact on the capacity of organisations to continue to serve their communities. </w:t>
      </w:r>
    </w:p>
    <w:p w14:paraId="07534F0E" w14:textId="34578A4A" w:rsidR="00DC358C" w:rsidRDefault="00DC358C" w:rsidP="00DC358C">
      <w:r>
        <w:t>This can be a fine line when we consider the limited capacity in many small N</w:t>
      </w:r>
      <w:r w:rsidR="00991E28">
        <w:t xml:space="preserve">FPs.  </w:t>
      </w:r>
      <w:r>
        <w:t xml:space="preserve">CCA believes NFPs </w:t>
      </w:r>
      <w:r w:rsidR="00991E28">
        <w:t xml:space="preserve">must be </w:t>
      </w:r>
      <w:r>
        <w:t>actively engaged in the proposed process for developing any new provisions.</w:t>
      </w:r>
    </w:p>
    <w:p w14:paraId="220C7C31" w14:textId="77777777" w:rsidR="00DC358C" w:rsidRDefault="00DC358C" w:rsidP="00DC358C">
      <w:r>
        <w:t>CCA will only support new requirements for whistleblower protections if there is appropriate scope for NFPs to have a significant input into their development and the way they are to be implemented.</w:t>
      </w:r>
    </w:p>
    <w:p w14:paraId="27E2F964" w14:textId="77777777" w:rsidR="00DC358C" w:rsidRDefault="00DC358C" w:rsidP="00740F7C">
      <w:pPr>
        <w:spacing w:before="0"/>
        <w:rPr>
          <w:rFonts w:asciiTheme="majorHAnsi" w:hAnsiTheme="majorHAnsi"/>
          <w:b/>
          <w:sz w:val="28"/>
          <w:szCs w:val="28"/>
        </w:rPr>
      </w:pPr>
    </w:p>
    <w:p w14:paraId="1676037C" w14:textId="77777777" w:rsidR="00DC358C" w:rsidRDefault="00DC358C" w:rsidP="00740F7C">
      <w:pPr>
        <w:spacing w:before="0"/>
        <w:rPr>
          <w:rFonts w:asciiTheme="majorHAnsi" w:hAnsiTheme="majorHAnsi"/>
          <w:b/>
          <w:sz w:val="28"/>
          <w:szCs w:val="28"/>
        </w:rPr>
      </w:pPr>
    </w:p>
    <w:p w14:paraId="3F8A9B91" w14:textId="72DCAA16" w:rsidR="00740F7C" w:rsidRDefault="008B0870" w:rsidP="00740F7C">
      <w:pPr>
        <w:spacing w:before="0"/>
      </w:pPr>
      <w:r w:rsidRPr="00640A26">
        <w:rPr>
          <w:rFonts w:asciiTheme="majorHAnsi" w:hAnsiTheme="majorHAnsi"/>
          <w:b/>
          <w:sz w:val="28"/>
          <w:szCs w:val="28"/>
        </w:rPr>
        <w:t xml:space="preserve">Conclusion </w:t>
      </w:r>
      <w:r>
        <w:rPr>
          <w:rFonts w:asciiTheme="majorHAnsi" w:hAnsiTheme="majorHAnsi"/>
          <w:b/>
          <w:sz w:val="28"/>
          <w:szCs w:val="28"/>
        </w:rPr>
        <w:br/>
      </w:r>
    </w:p>
    <w:p w14:paraId="4E6135BE" w14:textId="5B2B3F68" w:rsidR="00E32756" w:rsidRDefault="00DC358C" w:rsidP="00740F7C">
      <w:pPr>
        <w:spacing w:before="0"/>
      </w:pPr>
      <w:r>
        <w:t xml:space="preserve">CCA </w:t>
      </w:r>
      <w:r w:rsidR="00E32756">
        <w:t xml:space="preserve">strongly supports the role of whistleblowers in </w:t>
      </w:r>
      <w:r w:rsidR="00984BA8">
        <w:t>improving</w:t>
      </w:r>
      <w:r w:rsidR="00E32756">
        <w:t xml:space="preserve"> the capacity of the sector to </w:t>
      </w:r>
      <w:r w:rsidR="00855891">
        <w:t xml:space="preserve">better </w:t>
      </w:r>
      <w:r w:rsidR="00E32756">
        <w:t>serve their communities.</w:t>
      </w:r>
    </w:p>
    <w:p w14:paraId="592DD6D0" w14:textId="3450D4BE" w:rsidR="00E32756" w:rsidRDefault="00E32756" w:rsidP="00740F7C">
      <w:pPr>
        <w:spacing w:before="0"/>
      </w:pPr>
    </w:p>
    <w:p w14:paraId="1BFE5E22" w14:textId="42019D10" w:rsidR="00DC358C" w:rsidRDefault="00DC358C" w:rsidP="00740F7C">
      <w:pPr>
        <w:spacing w:before="0"/>
      </w:pPr>
      <w:r>
        <w:t>This does not mean CCA supports the creation of new or onerous reporting or monitoring requirements on all NFPs.</w:t>
      </w:r>
    </w:p>
    <w:p w14:paraId="52F341D5" w14:textId="5ACC70FE" w:rsidR="00DC358C" w:rsidRDefault="00DC358C" w:rsidP="00740F7C">
      <w:pPr>
        <w:spacing w:before="0"/>
      </w:pPr>
    </w:p>
    <w:p w14:paraId="70179431" w14:textId="4144757F" w:rsidR="00DC358C" w:rsidRDefault="00DC358C" w:rsidP="00740F7C">
      <w:pPr>
        <w:spacing w:before="0"/>
      </w:pPr>
      <w:r>
        <w:t>While agreeing with the policy goal of better enabling and protecting whistleblowers, CCA would be concerned if new policies or pra</w:t>
      </w:r>
      <w:r w:rsidR="00855891">
        <w:t>ctices a</w:t>
      </w:r>
      <w:r>
        <w:t>re going to be forced on all NFPs without consultation in the name of protecting whistleblowers.  There needs to be</w:t>
      </w:r>
      <w:r w:rsidR="00855891">
        <w:t xml:space="preserve"> further consultation </w:t>
      </w:r>
      <w:r>
        <w:t>around what works well across the NFP sector and what is not working.  Any</w:t>
      </w:r>
      <w:r w:rsidR="00855891">
        <w:t xml:space="preserve"> attempt to improve whistleblower protections </w:t>
      </w:r>
      <w:r>
        <w:t>needs to be grounded in</w:t>
      </w:r>
      <w:r w:rsidR="00855891">
        <w:t xml:space="preserve"> a well-informed</w:t>
      </w:r>
      <w:r>
        <w:t xml:space="preserve"> understanding of what will work in practice </w:t>
      </w:r>
      <w:r w:rsidR="00855891">
        <w:t xml:space="preserve">across the NFP sector </w:t>
      </w:r>
      <w:r>
        <w:t>to better support whistleblowers.</w:t>
      </w:r>
    </w:p>
    <w:p w14:paraId="0A1C4440" w14:textId="7C2237E9" w:rsidR="00DC358C" w:rsidRDefault="00DC358C" w:rsidP="00740F7C">
      <w:pPr>
        <w:spacing w:before="0"/>
      </w:pPr>
    </w:p>
    <w:p w14:paraId="2B6660F4" w14:textId="21D993D2" w:rsidR="008965DD" w:rsidRDefault="00DC358C" w:rsidP="00855891">
      <w:pPr>
        <w:spacing w:before="0"/>
        <w:rPr>
          <w:rFonts w:cstheme="minorHAnsi"/>
          <w:b/>
          <w:sz w:val="20"/>
          <w:szCs w:val="20"/>
          <w:u w:val="single"/>
        </w:rPr>
      </w:pPr>
      <w:r>
        <w:t xml:space="preserve">Given the size of the sector, the fact that it is now administering over $130 billion in </w:t>
      </w:r>
      <w:r w:rsidR="00855891">
        <w:t>income each year</w:t>
      </w:r>
      <w:r>
        <w:t xml:space="preserve"> and managing over 1.1 million Australian employees, ensuring whistleblower protection works in this s</w:t>
      </w:r>
      <w:r w:rsidR="00855891">
        <w:t>ector should be a policy priority.  Achieving better protections for whistleblowers in the NFP sector will require considerably more than producing a set of well-intentioned guidelines.</w:t>
      </w:r>
      <w:bookmarkStart w:id="0" w:name="_GoBack"/>
      <w:bookmarkEnd w:id="0"/>
      <w:r w:rsidR="008965DD">
        <w:rPr>
          <w:rFonts w:cstheme="minorHAnsi"/>
          <w:b/>
          <w:sz w:val="20"/>
          <w:szCs w:val="20"/>
          <w:u w:val="single"/>
        </w:rPr>
        <w:br w:type="page"/>
      </w:r>
    </w:p>
    <w:p w14:paraId="5693A344" w14:textId="59A6EFDF" w:rsidR="002C73FB" w:rsidRDefault="00D66E4F" w:rsidP="005C6727">
      <w:pPr>
        <w:spacing w:beforeLines="60" w:before="144"/>
        <w:rPr>
          <w:rFonts w:asciiTheme="majorHAnsi" w:eastAsia="Times New Roman" w:hAnsiTheme="majorHAnsi" w:cs="Arial"/>
          <w:color w:val="000000"/>
          <w:sz w:val="20"/>
          <w:szCs w:val="20"/>
          <w:lang w:eastAsia="en-AU"/>
        </w:rPr>
      </w:pPr>
      <w:r w:rsidRPr="0066180A">
        <w:rPr>
          <w:rStyle w:val="Heading1Char"/>
        </w:rPr>
        <w:lastRenderedPageBreak/>
        <w:t>Current Membership – Community Council for Australia</w:t>
      </w:r>
      <w:r w:rsidRPr="0066180A">
        <w:rPr>
          <w:rFonts w:cstheme="minorHAnsi"/>
          <w:b/>
          <w:sz w:val="28"/>
          <w:szCs w:val="28"/>
        </w:rPr>
        <w:t xml:space="preserve">   </w:t>
      </w:r>
      <w:r w:rsidRPr="00CC0751">
        <w:rPr>
          <w:rFonts w:asciiTheme="majorHAnsi" w:hAnsiTheme="majorHAnsi"/>
          <w:b/>
          <w:i/>
          <w:sz w:val="28"/>
          <w:szCs w:val="28"/>
        </w:rPr>
        <w:t xml:space="preserve">Attachment </w:t>
      </w:r>
      <w:r w:rsidR="00CC0751" w:rsidRPr="00CC0751">
        <w:rPr>
          <w:rFonts w:asciiTheme="majorHAnsi" w:hAnsiTheme="majorHAnsi"/>
          <w:b/>
          <w:i/>
          <w:sz w:val="28"/>
          <w:szCs w:val="28"/>
        </w:rPr>
        <w:t>A</w:t>
      </w:r>
      <w:r w:rsidR="00663491">
        <w:rPr>
          <w:rFonts w:asciiTheme="majorHAnsi" w:hAnsiTheme="majorHAnsi"/>
          <w:b/>
          <w:i/>
          <w:sz w:val="28"/>
          <w:szCs w:val="28"/>
        </w:rPr>
        <w:br/>
      </w:r>
    </w:p>
    <w:p w14:paraId="744D1740" w14:textId="398F4AC4" w:rsidR="00060937" w:rsidRDefault="00060937" w:rsidP="00060937">
      <w:pPr>
        <w:spacing w:beforeLines="60" w:before="144"/>
        <w:contextualSpacing/>
        <w:rPr>
          <w:rFonts w:asciiTheme="majorHAnsi" w:eastAsia="Times New Roman" w:hAnsiTheme="majorHAnsi" w:cs="Arial"/>
          <w:sz w:val="20"/>
          <w:szCs w:val="20"/>
          <w:lang w:eastAsia="en-AU"/>
        </w:rPr>
      </w:pPr>
    </w:p>
    <w:tbl>
      <w:tblPr>
        <w:tblW w:w="9744" w:type="dxa"/>
        <w:tblLook w:val="04A0" w:firstRow="1" w:lastRow="0" w:firstColumn="1" w:lastColumn="0" w:noHBand="0" w:noVBand="1"/>
      </w:tblPr>
      <w:tblGrid>
        <w:gridCol w:w="4780"/>
        <w:gridCol w:w="1447"/>
        <w:gridCol w:w="1637"/>
        <w:gridCol w:w="1880"/>
      </w:tblGrid>
      <w:tr w:rsidR="00D02360" w:rsidRPr="00512BCC" w14:paraId="55DD6D6E" w14:textId="77777777" w:rsidTr="00776ADF">
        <w:trPr>
          <w:trHeight w:val="288"/>
        </w:trPr>
        <w:tc>
          <w:tcPr>
            <w:tcW w:w="97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23712EA" w14:textId="7C545CAF" w:rsidR="00D02360" w:rsidRPr="00512BCC" w:rsidRDefault="00D02360" w:rsidP="00060937">
            <w:pPr>
              <w:contextualSpacing/>
              <w:rPr>
                <w:rFonts w:ascii="Calibri" w:eastAsia="Times New Roman" w:hAnsi="Calibri" w:cs="Calibri"/>
                <w:color w:val="000000"/>
              </w:rPr>
            </w:pPr>
            <w:r w:rsidRPr="00D02360">
              <w:rPr>
                <w:rFonts w:ascii="Calibri" w:eastAsia="Times New Roman" w:hAnsi="Calibri" w:cs="Calibri"/>
                <w:b/>
                <w:color w:val="000000"/>
                <w:sz w:val="28"/>
                <w:szCs w:val="28"/>
              </w:rPr>
              <w:t>Organisation</w:t>
            </w:r>
          </w:p>
        </w:tc>
      </w:tr>
      <w:tr w:rsidR="00060937" w:rsidRPr="00512BCC" w14:paraId="0B952FB8" w14:textId="77777777" w:rsidTr="00D02360">
        <w:trPr>
          <w:trHeight w:val="288"/>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A6F0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Access Australia's National Infertility Network</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7472E0E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Sandra</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14:paraId="762B951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Dill</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0103D87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4500282E"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7554666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Access Housing</w:t>
            </w:r>
          </w:p>
        </w:tc>
        <w:tc>
          <w:tcPr>
            <w:tcW w:w="1447" w:type="dxa"/>
            <w:tcBorders>
              <w:top w:val="nil"/>
              <w:left w:val="nil"/>
              <w:bottom w:val="single" w:sz="4" w:space="0" w:color="auto"/>
              <w:right w:val="single" w:sz="4" w:space="0" w:color="auto"/>
            </w:tcBorders>
            <w:shd w:val="clear" w:color="auto" w:fill="auto"/>
            <w:noWrap/>
            <w:vAlign w:val="bottom"/>
            <w:hideMark/>
          </w:tcPr>
          <w:p w14:paraId="41EA855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Gary</w:t>
            </w:r>
          </w:p>
        </w:tc>
        <w:tc>
          <w:tcPr>
            <w:tcW w:w="1637" w:type="dxa"/>
            <w:tcBorders>
              <w:top w:val="nil"/>
              <w:left w:val="nil"/>
              <w:bottom w:val="single" w:sz="4" w:space="0" w:color="auto"/>
              <w:right w:val="single" w:sz="4" w:space="0" w:color="auto"/>
            </w:tcBorders>
            <w:shd w:val="clear" w:color="auto" w:fill="auto"/>
            <w:noWrap/>
            <w:vAlign w:val="bottom"/>
            <w:hideMark/>
          </w:tcPr>
          <w:p w14:paraId="5D09D762"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Ellender</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5D98ABB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2E8B643"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tcPr>
          <w:p w14:paraId="321235FE" w14:textId="77777777" w:rsidR="00060937" w:rsidRPr="00FD21CE" w:rsidRDefault="00060937" w:rsidP="00060937">
            <w:pPr>
              <w:contextualSpacing/>
              <w:rPr>
                <w:rFonts w:ascii="Calibri" w:eastAsia="Times New Roman" w:hAnsi="Calibri" w:cs="Calibri"/>
                <w:color w:val="000000"/>
                <w:highlight w:val="yellow"/>
              </w:rPr>
            </w:pPr>
            <w:r w:rsidRPr="00FD21CE">
              <w:rPr>
                <w:rFonts w:ascii="Calibri" w:hAnsi="Calibri" w:cs="Calibri"/>
                <w:color w:val="000000"/>
                <w:highlight w:val="yellow"/>
              </w:rPr>
              <w:t>Adult Learning Australia</w:t>
            </w:r>
          </w:p>
        </w:tc>
        <w:tc>
          <w:tcPr>
            <w:tcW w:w="1447" w:type="dxa"/>
            <w:tcBorders>
              <w:top w:val="nil"/>
              <w:left w:val="nil"/>
              <w:bottom w:val="single" w:sz="4" w:space="0" w:color="auto"/>
              <w:right w:val="single" w:sz="4" w:space="0" w:color="auto"/>
            </w:tcBorders>
            <w:shd w:val="clear" w:color="auto" w:fill="auto"/>
            <w:noWrap/>
          </w:tcPr>
          <w:p w14:paraId="7FAE1D79" w14:textId="77777777" w:rsidR="00060937" w:rsidRPr="00FD21CE" w:rsidRDefault="00060937" w:rsidP="00060937">
            <w:pPr>
              <w:autoSpaceDE w:val="0"/>
              <w:autoSpaceDN w:val="0"/>
              <w:adjustRightInd w:val="0"/>
              <w:contextualSpacing/>
              <w:rPr>
                <w:rFonts w:ascii="Calibri" w:hAnsi="Calibri" w:cs="Calibri"/>
                <w:color w:val="000000"/>
                <w:highlight w:val="yellow"/>
              </w:rPr>
            </w:pPr>
            <w:r w:rsidRPr="00FD21CE">
              <w:rPr>
                <w:rFonts w:ascii="Calibri" w:hAnsi="Calibri" w:cs="Calibri"/>
                <w:color w:val="000000"/>
                <w:highlight w:val="yellow"/>
              </w:rPr>
              <w:t>Jenny</w:t>
            </w:r>
          </w:p>
        </w:tc>
        <w:tc>
          <w:tcPr>
            <w:tcW w:w="1637" w:type="dxa"/>
            <w:tcBorders>
              <w:top w:val="nil"/>
              <w:left w:val="nil"/>
              <w:bottom w:val="single" w:sz="4" w:space="0" w:color="auto"/>
              <w:right w:val="single" w:sz="4" w:space="0" w:color="auto"/>
            </w:tcBorders>
            <w:shd w:val="clear" w:color="auto" w:fill="auto"/>
            <w:noWrap/>
          </w:tcPr>
          <w:p w14:paraId="55ADA0BE" w14:textId="77777777" w:rsidR="00060937" w:rsidRPr="00FD21CE" w:rsidRDefault="00060937" w:rsidP="00060937">
            <w:pPr>
              <w:autoSpaceDE w:val="0"/>
              <w:autoSpaceDN w:val="0"/>
              <w:adjustRightInd w:val="0"/>
              <w:contextualSpacing/>
              <w:rPr>
                <w:rFonts w:ascii="Calibri" w:hAnsi="Calibri" w:cs="Calibri"/>
                <w:color w:val="000000"/>
                <w:highlight w:val="yellow"/>
              </w:rPr>
            </w:pPr>
            <w:proofErr w:type="spellStart"/>
            <w:r w:rsidRPr="00FD21CE">
              <w:rPr>
                <w:rFonts w:ascii="Calibri" w:hAnsi="Calibri" w:cs="Calibri"/>
                <w:color w:val="000000"/>
                <w:highlight w:val="yellow"/>
              </w:rPr>
              <w:t>Macaffer</w:t>
            </w:r>
            <w:proofErr w:type="spellEnd"/>
          </w:p>
        </w:tc>
        <w:tc>
          <w:tcPr>
            <w:tcW w:w="1880" w:type="dxa"/>
            <w:tcBorders>
              <w:top w:val="nil"/>
              <w:left w:val="nil"/>
              <w:bottom w:val="single" w:sz="4" w:space="0" w:color="auto"/>
              <w:right w:val="single" w:sz="4" w:space="0" w:color="auto"/>
            </w:tcBorders>
            <w:shd w:val="clear" w:color="auto" w:fill="auto"/>
            <w:noWrap/>
          </w:tcPr>
          <w:p w14:paraId="00FC878C" w14:textId="77777777" w:rsidR="00060937" w:rsidRDefault="00060937" w:rsidP="00060937">
            <w:pPr>
              <w:autoSpaceDE w:val="0"/>
              <w:autoSpaceDN w:val="0"/>
              <w:adjustRightInd w:val="0"/>
              <w:contextualSpacing/>
              <w:rPr>
                <w:rFonts w:ascii="Calibri" w:hAnsi="Calibri" w:cs="Calibri"/>
                <w:color w:val="000000"/>
              </w:rPr>
            </w:pPr>
            <w:r w:rsidRPr="00FD21CE">
              <w:rPr>
                <w:rFonts w:ascii="Calibri" w:hAnsi="Calibri" w:cs="Calibri"/>
                <w:color w:val="000000"/>
                <w:highlight w:val="yellow"/>
              </w:rPr>
              <w:t>CEO</w:t>
            </w:r>
          </w:p>
        </w:tc>
      </w:tr>
      <w:tr w:rsidR="00060937" w:rsidRPr="00512BCC" w14:paraId="5C3289E3"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4A50F3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Alcohol, Tobacco and Other Drugs Association ACT</w:t>
            </w:r>
          </w:p>
        </w:tc>
        <w:tc>
          <w:tcPr>
            <w:tcW w:w="1447" w:type="dxa"/>
            <w:tcBorders>
              <w:top w:val="nil"/>
              <w:left w:val="nil"/>
              <w:bottom w:val="single" w:sz="4" w:space="0" w:color="auto"/>
              <w:right w:val="single" w:sz="4" w:space="0" w:color="auto"/>
            </w:tcBorders>
            <w:shd w:val="clear" w:color="auto" w:fill="auto"/>
            <w:noWrap/>
            <w:vAlign w:val="bottom"/>
            <w:hideMark/>
          </w:tcPr>
          <w:p w14:paraId="2B45A57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Carrie </w:t>
            </w:r>
          </w:p>
        </w:tc>
        <w:tc>
          <w:tcPr>
            <w:tcW w:w="1637" w:type="dxa"/>
            <w:tcBorders>
              <w:top w:val="nil"/>
              <w:left w:val="nil"/>
              <w:bottom w:val="single" w:sz="4" w:space="0" w:color="auto"/>
              <w:right w:val="single" w:sz="4" w:space="0" w:color="auto"/>
            </w:tcBorders>
            <w:shd w:val="clear" w:color="auto" w:fill="auto"/>
            <w:noWrap/>
            <w:vAlign w:val="bottom"/>
            <w:hideMark/>
          </w:tcPr>
          <w:p w14:paraId="29EABDE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Fowlie</w:t>
            </w:r>
          </w:p>
        </w:tc>
        <w:tc>
          <w:tcPr>
            <w:tcW w:w="1880" w:type="dxa"/>
            <w:tcBorders>
              <w:top w:val="nil"/>
              <w:left w:val="nil"/>
              <w:bottom w:val="single" w:sz="4" w:space="0" w:color="auto"/>
              <w:right w:val="single" w:sz="4" w:space="0" w:color="auto"/>
            </w:tcBorders>
            <w:shd w:val="clear" w:color="auto" w:fill="auto"/>
            <w:noWrap/>
            <w:vAlign w:val="bottom"/>
            <w:hideMark/>
          </w:tcPr>
          <w:p w14:paraId="2D84D6D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Executive Officer</w:t>
            </w:r>
          </w:p>
        </w:tc>
      </w:tr>
      <w:tr w:rsidR="00060937" w:rsidRPr="00512BCC" w14:paraId="6419D285"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9E0A18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Arab Council Australia</w:t>
            </w:r>
          </w:p>
        </w:tc>
        <w:tc>
          <w:tcPr>
            <w:tcW w:w="1447" w:type="dxa"/>
            <w:tcBorders>
              <w:top w:val="nil"/>
              <w:left w:val="nil"/>
              <w:bottom w:val="single" w:sz="4" w:space="0" w:color="auto"/>
              <w:right w:val="single" w:sz="4" w:space="0" w:color="auto"/>
            </w:tcBorders>
            <w:shd w:val="clear" w:color="auto" w:fill="auto"/>
            <w:noWrap/>
            <w:vAlign w:val="bottom"/>
            <w:hideMark/>
          </w:tcPr>
          <w:p w14:paraId="59A0BC1C"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Randa</w:t>
            </w:r>
            <w:proofErr w:type="spellEnd"/>
          </w:p>
        </w:tc>
        <w:tc>
          <w:tcPr>
            <w:tcW w:w="1637" w:type="dxa"/>
            <w:tcBorders>
              <w:top w:val="nil"/>
              <w:left w:val="nil"/>
              <w:bottom w:val="single" w:sz="4" w:space="0" w:color="auto"/>
              <w:right w:val="single" w:sz="4" w:space="0" w:color="auto"/>
            </w:tcBorders>
            <w:shd w:val="clear" w:color="auto" w:fill="auto"/>
            <w:noWrap/>
            <w:vAlign w:val="bottom"/>
            <w:hideMark/>
          </w:tcPr>
          <w:p w14:paraId="065D6DBE"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Kattan</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4947D74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3203365A"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DAE267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Arthritis Australia</w:t>
            </w:r>
          </w:p>
        </w:tc>
        <w:tc>
          <w:tcPr>
            <w:tcW w:w="1447" w:type="dxa"/>
            <w:tcBorders>
              <w:top w:val="nil"/>
              <w:left w:val="nil"/>
              <w:bottom w:val="single" w:sz="4" w:space="0" w:color="auto"/>
              <w:right w:val="single" w:sz="4" w:space="0" w:color="auto"/>
            </w:tcBorders>
            <w:shd w:val="clear" w:color="auto" w:fill="auto"/>
            <w:noWrap/>
            <w:vAlign w:val="bottom"/>
            <w:hideMark/>
          </w:tcPr>
          <w:p w14:paraId="2D06572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Ainslie</w:t>
            </w:r>
          </w:p>
        </w:tc>
        <w:tc>
          <w:tcPr>
            <w:tcW w:w="1637" w:type="dxa"/>
            <w:tcBorders>
              <w:top w:val="nil"/>
              <w:left w:val="nil"/>
              <w:bottom w:val="single" w:sz="4" w:space="0" w:color="auto"/>
              <w:right w:val="single" w:sz="4" w:space="0" w:color="auto"/>
            </w:tcBorders>
            <w:shd w:val="clear" w:color="auto" w:fill="auto"/>
            <w:noWrap/>
            <w:vAlign w:val="bottom"/>
            <w:hideMark/>
          </w:tcPr>
          <w:p w14:paraId="674A6EA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Cahill</w:t>
            </w:r>
          </w:p>
        </w:tc>
        <w:tc>
          <w:tcPr>
            <w:tcW w:w="1880" w:type="dxa"/>
            <w:tcBorders>
              <w:top w:val="nil"/>
              <w:left w:val="nil"/>
              <w:bottom w:val="single" w:sz="4" w:space="0" w:color="auto"/>
              <w:right w:val="single" w:sz="4" w:space="0" w:color="auto"/>
            </w:tcBorders>
            <w:shd w:val="clear" w:color="auto" w:fill="auto"/>
            <w:noWrap/>
            <w:vAlign w:val="bottom"/>
            <w:hideMark/>
          </w:tcPr>
          <w:p w14:paraId="2D83BD5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3A4A670B"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048F7A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Australian Charities Fund</w:t>
            </w:r>
          </w:p>
        </w:tc>
        <w:tc>
          <w:tcPr>
            <w:tcW w:w="1447" w:type="dxa"/>
            <w:tcBorders>
              <w:top w:val="nil"/>
              <w:left w:val="nil"/>
              <w:bottom w:val="single" w:sz="4" w:space="0" w:color="auto"/>
              <w:right w:val="single" w:sz="4" w:space="0" w:color="auto"/>
            </w:tcBorders>
            <w:shd w:val="clear" w:color="auto" w:fill="auto"/>
            <w:noWrap/>
            <w:vAlign w:val="bottom"/>
            <w:hideMark/>
          </w:tcPr>
          <w:p w14:paraId="4A52B80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Jenny</w:t>
            </w:r>
          </w:p>
        </w:tc>
        <w:tc>
          <w:tcPr>
            <w:tcW w:w="1637" w:type="dxa"/>
            <w:tcBorders>
              <w:top w:val="nil"/>
              <w:left w:val="nil"/>
              <w:bottom w:val="single" w:sz="4" w:space="0" w:color="auto"/>
              <w:right w:val="single" w:sz="4" w:space="0" w:color="auto"/>
            </w:tcBorders>
            <w:shd w:val="clear" w:color="auto" w:fill="auto"/>
            <w:noWrap/>
            <w:vAlign w:val="bottom"/>
            <w:hideMark/>
          </w:tcPr>
          <w:p w14:paraId="626A10D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Geddes</w:t>
            </w:r>
          </w:p>
        </w:tc>
        <w:tc>
          <w:tcPr>
            <w:tcW w:w="1880" w:type="dxa"/>
            <w:tcBorders>
              <w:top w:val="nil"/>
              <w:left w:val="nil"/>
              <w:bottom w:val="single" w:sz="4" w:space="0" w:color="auto"/>
              <w:right w:val="single" w:sz="4" w:space="0" w:color="auto"/>
            </w:tcBorders>
            <w:shd w:val="clear" w:color="auto" w:fill="auto"/>
            <w:noWrap/>
            <w:vAlign w:val="bottom"/>
            <w:hideMark/>
          </w:tcPr>
          <w:p w14:paraId="1A1532C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2EA19F8A"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35FEDE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Australian Council for International Development</w:t>
            </w:r>
          </w:p>
        </w:tc>
        <w:tc>
          <w:tcPr>
            <w:tcW w:w="1447" w:type="dxa"/>
            <w:tcBorders>
              <w:top w:val="nil"/>
              <w:left w:val="nil"/>
              <w:bottom w:val="single" w:sz="4" w:space="0" w:color="auto"/>
              <w:right w:val="single" w:sz="4" w:space="0" w:color="auto"/>
            </w:tcBorders>
            <w:shd w:val="clear" w:color="auto" w:fill="auto"/>
            <w:noWrap/>
            <w:vAlign w:val="bottom"/>
            <w:hideMark/>
          </w:tcPr>
          <w:p w14:paraId="2236C01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Marc </w:t>
            </w:r>
          </w:p>
        </w:tc>
        <w:tc>
          <w:tcPr>
            <w:tcW w:w="1637" w:type="dxa"/>
            <w:tcBorders>
              <w:top w:val="nil"/>
              <w:left w:val="nil"/>
              <w:bottom w:val="single" w:sz="4" w:space="0" w:color="auto"/>
              <w:right w:val="single" w:sz="4" w:space="0" w:color="auto"/>
            </w:tcBorders>
            <w:shd w:val="clear" w:color="auto" w:fill="auto"/>
            <w:noWrap/>
            <w:vAlign w:val="bottom"/>
            <w:hideMark/>
          </w:tcPr>
          <w:p w14:paraId="2974E26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Purcell </w:t>
            </w:r>
          </w:p>
        </w:tc>
        <w:tc>
          <w:tcPr>
            <w:tcW w:w="1880" w:type="dxa"/>
            <w:tcBorders>
              <w:top w:val="nil"/>
              <w:left w:val="nil"/>
              <w:bottom w:val="single" w:sz="4" w:space="0" w:color="auto"/>
              <w:right w:val="single" w:sz="4" w:space="0" w:color="auto"/>
            </w:tcBorders>
            <w:shd w:val="clear" w:color="auto" w:fill="auto"/>
            <w:noWrap/>
            <w:vAlign w:val="bottom"/>
            <w:hideMark/>
          </w:tcPr>
          <w:p w14:paraId="041EDA1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34BAE87"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9723C4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Australian Healthcare and Hospitals Association</w:t>
            </w:r>
          </w:p>
        </w:tc>
        <w:tc>
          <w:tcPr>
            <w:tcW w:w="1447" w:type="dxa"/>
            <w:tcBorders>
              <w:top w:val="nil"/>
              <w:left w:val="nil"/>
              <w:bottom w:val="single" w:sz="4" w:space="0" w:color="auto"/>
              <w:right w:val="single" w:sz="4" w:space="0" w:color="auto"/>
            </w:tcBorders>
            <w:shd w:val="clear" w:color="auto" w:fill="auto"/>
            <w:noWrap/>
            <w:vAlign w:val="bottom"/>
            <w:hideMark/>
          </w:tcPr>
          <w:p w14:paraId="7E7F9D7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Alison </w:t>
            </w:r>
          </w:p>
        </w:tc>
        <w:tc>
          <w:tcPr>
            <w:tcW w:w="1637" w:type="dxa"/>
            <w:tcBorders>
              <w:top w:val="nil"/>
              <w:left w:val="nil"/>
              <w:bottom w:val="single" w:sz="4" w:space="0" w:color="auto"/>
              <w:right w:val="single" w:sz="4" w:space="0" w:color="auto"/>
            </w:tcBorders>
            <w:shd w:val="clear" w:color="auto" w:fill="auto"/>
            <w:noWrap/>
            <w:vAlign w:val="bottom"/>
            <w:hideMark/>
          </w:tcPr>
          <w:p w14:paraId="00C92CD0"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Verhoeven</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40C8D2C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08D0B2B1"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3973753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Australian Indigenous Leadership Centre</w:t>
            </w:r>
          </w:p>
        </w:tc>
        <w:tc>
          <w:tcPr>
            <w:tcW w:w="1447" w:type="dxa"/>
            <w:tcBorders>
              <w:top w:val="nil"/>
              <w:left w:val="nil"/>
              <w:bottom w:val="single" w:sz="4" w:space="0" w:color="auto"/>
              <w:right w:val="single" w:sz="4" w:space="0" w:color="auto"/>
            </w:tcBorders>
            <w:shd w:val="clear" w:color="auto" w:fill="auto"/>
            <w:noWrap/>
            <w:vAlign w:val="bottom"/>
            <w:hideMark/>
          </w:tcPr>
          <w:p w14:paraId="1D64A8B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Belinda</w:t>
            </w:r>
          </w:p>
        </w:tc>
        <w:tc>
          <w:tcPr>
            <w:tcW w:w="1637" w:type="dxa"/>
            <w:tcBorders>
              <w:top w:val="nil"/>
              <w:left w:val="nil"/>
              <w:bottom w:val="single" w:sz="4" w:space="0" w:color="auto"/>
              <w:right w:val="single" w:sz="4" w:space="0" w:color="auto"/>
            </w:tcBorders>
            <w:shd w:val="clear" w:color="auto" w:fill="auto"/>
            <w:noWrap/>
            <w:vAlign w:val="bottom"/>
            <w:hideMark/>
          </w:tcPr>
          <w:p w14:paraId="39A8E68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Gibb</w:t>
            </w:r>
          </w:p>
        </w:tc>
        <w:tc>
          <w:tcPr>
            <w:tcW w:w="1880" w:type="dxa"/>
            <w:tcBorders>
              <w:top w:val="nil"/>
              <w:left w:val="nil"/>
              <w:bottom w:val="single" w:sz="4" w:space="0" w:color="auto"/>
              <w:right w:val="single" w:sz="4" w:space="0" w:color="auto"/>
            </w:tcBorders>
            <w:shd w:val="clear" w:color="auto" w:fill="auto"/>
            <w:noWrap/>
            <w:vAlign w:val="bottom"/>
            <w:hideMark/>
          </w:tcPr>
          <w:p w14:paraId="1FA1449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07305DA3"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963EA5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Australian Institute of Superannuation Trustees</w:t>
            </w:r>
          </w:p>
        </w:tc>
        <w:tc>
          <w:tcPr>
            <w:tcW w:w="1447" w:type="dxa"/>
            <w:tcBorders>
              <w:top w:val="nil"/>
              <w:left w:val="nil"/>
              <w:bottom w:val="single" w:sz="4" w:space="0" w:color="auto"/>
              <w:right w:val="single" w:sz="4" w:space="0" w:color="auto"/>
            </w:tcBorders>
            <w:shd w:val="clear" w:color="auto" w:fill="auto"/>
            <w:noWrap/>
            <w:vAlign w:val="bottom"/>
            <w:hideMark/>
          </w:tcPr>
          <w:p w14:paraId="19230F9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Tom</w:t>
            </w:r>
          </w:p>
        </w:tc>
        <w:tc>
          <w:tcPr>
            <w:tcW w:w="1637" w:type="dxa"/>
            <w:tcBorders>
              <w:top w:val="nil"/>
              <w:left w:val="nil"/>
              <w:bottom w:val="single" w:sz="4" w:space="0" w:color="auto"/>
              <w:right w:val="single" w:sz="4" w:space="0" w:color="auto"/>
            </w:tcBorders>
            <w:shd w:val="clear" w:color="auto" w:fill="auto"/>
            <w:noWrap/>
            <w:vAlign w:val="bottom"/>
            <w:hideMark/>
          </w:tcPr>
          <w:p w14:paraId="7119B57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Garcia</w:t>
            </w:r>
          </w:p>
        </w:tc>
        <w:tc>
          <w:tcPr>
            <w:tcW w:w="1880" w:type="dxa"/>
            <w:tcBorders>
              <w:top w:val="nil"/>
              <w:left w:val="nil"/>
              <w:bottom w:val="single" w:sz="4" w:space="0" w:color="auto"/>
              <w:right w:val="single" w:sz="4" w:space="0" w:color="auto"/>
            </w:tcBorders>
            <w:shd w:val="clear" w:color="auto" w:fill="auto"/>
            <w:noWrap/>
            <w:vAlign w:val="bottom"/>
            <w:hideMark/>
          </w:tcPr>
          <w:p w14:paraId="0254B85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0F3E3B33"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584F80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Australian Major Performing Arts Group</w:t>
            </w:r>
          </w:p>
        </w:tc>
        <w:tc>
          <w:tcPr>
            <w:tcW w:w="1447" w:type="dxa"/>
            <w:tcBorders>
              <w:top w:val="nil"/>
              <w:left w:val="nil"/>
              <w:bottom w:val="single" w:sz="4" w:space="0" w:color="auto"/>
              <w:right w:val="single" w:sz="4" w:space="0" w:color="auto"/>
            </w:tcBorders>
            <w:shd w:val="clear" w:color="auto" w:fill="auto"/>
            <w:noWrap/>
            <w:vAlign w:val="bottom"/>
            <w:hideMark/>
          </w:tcPr>
          <w:p w14:paraId="392B1B4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Bethwyn </w:t>
            </w:r>
          </w:p>
        </w:tc>
        <w:tc>
          <w:tcPr>
            <w:tcW w:w="1637" w:type="dxa"/>
            <w:tcBorders>
              <w:top w:val="nil"/>
              <w:left w:val="nil"/>
              <w:bottom w:val="single" w:sz="4" w:space="0" w:color="auto"/>
              <w:right w:val="single" w:sz="4" w:space="0" w:color="auto"/>
            </w:tcBorders>
            <w:shd w:val="clear" w:color="auto" w:fill="auto"/>
            <w:noWrap/>
            <w:vAlign w:val="bottom"/>
            <w:hideMark/>
          </w:tcPr>
          <w:p w14:paraId="45C1D34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Serow </w:t>
            </w:r>
          </w:p>
        </w:tc>
        <w:tc>
          <w:tcPr>
            <w:tcW w:w="1880" w:type="dxa"/>
            <w:tcBorders>
              <w:top w:val="nil"/>
              <w:left w:val="nil"/>
              <w:bottom w:val="single" w:sz="4" w:space="0" w:color="auto"/>
              <w:right w:val="single" w:sz="4" w:space="0" w:color="auto"/>
            </w:tcBorders>
            <w:shd w:val="clear" w:color="auto" w:fill="auto"/>
            <w:noWrap/>
            <w:vAlign w:val="bottom"/>
            <w:hideMark/>
          </w:tcPr>
          <w:p w14:paraId="37D2060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4C542D44"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171C24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Australian Women Donors Network</w:t>
            </w:r>
          </w:p>
        </w:tc>
        <w:tc>
          <w:tcPr>
            <w:tcW w:w="1447" w:type="dxa"/>
            <w:tcBorders>
              <w:top w:val="nil"/>
              <w:left w:val="nil"/>
              <w:bottom w:val="single" w:sz="4" w:space="0" w:color="auto"/>
              <w:right w:val="single" w:sz="4" w:space="0" w:color="auto"/>
            </w:tcBorders>
            <w:shd w:val="clear" w:color="auto" w:fill="auto"/>
            <w:noWrap/>
            <w:vAlign w:val="bottom"/>
            <w:hideMark/>
          </w:tcPr>
          <w:p w14:paraId="64372B2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Julie </w:t>
            </w:r>
          </w:p>
        </w:tc>
        <w:tc>
          <w:tcPr>
            <w:tcW w:w="1637" w:type="dxa"/>
            <w:tcBorders>
              <w:top w:val="nil"/>
              <w:left w:val="nil"/>
              <w:bottom w:val="single" w:sz="4" w:space="0" w:color="auto"/>
              <w:right w:val="single" w:sz="4" w:space="0" w:color="auto"/>
            </w:tcBorders>
            <w:shd w:val="clear" w:color="auto" w:fill="auto"/>
            <w:noWrap/>
            <w:vAlign w:val="bottom"/>
            <w:hideMark/>
          </w:tcPr>
          <w:p w14:paraId="33807A8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Reilly</w:t>
            </w:r>
          </w:p>
        </w:tc>
        <w:tc>
          <w:tcPr>
            <w:tcW w:w="1880" w:type="dxa"/>
            <w:tcBorders>
              <w:top w:val="nil"/>
              <w:left w:val="nil"/>
              <w:bottom w:val="single" w:sz="4" w:space="0" w:color="auto"/>
              <w:right w:val="single" w:sz="4" w:space="0" w:color="auto"/>
            </w:tcBorders>
            <w:shd w:val="clear" w:color="auto" w:fill="auto"/>
            <w:noWrap/>
            <w:vAlign w:val="bottom"/>
            <w:hideMark/>
          </w:tcPr>
          <w:p w14:paraId="62EA29D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0488C638"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45975D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Benevolent Society </w:t>
            </w:r>
          </w:p>
        </w:tc>
        <w:tc>
          <w:tcPr>
            <w:tcW w:w="1447" w:type="dxa"/>
            <w:tcBorders>
              <w:top w:val="nil"/>
              <w:left w:val="nil"/>
              <w:bottom w:val="single" w:sz="4" w:space="0" w:color="auto"/>
              <w:right w:val="single" w:sz="4" w:space="0" w:color="auto"/>
            </w:tcBorders>
            <w:shd w:val="clear" w:color="auto" w:fill="auto"/>
            <w:noWrap/>
            <w:vAlign w:val="bottom"/>
            <w:hideMark/>
          </w:tcPr>
          <w:p w14:paraId="0709FD9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Joanne</w:t>
            </w:r>
          </w:p>
        </w:tc>
        <w:tc>
          <w:tcPr>
            <w:tcW w:w="1637" w:type="dxa"/>
            <w:tcBorders>
              <w:top w:val="nil"/>
              <w:left w:val="nil"/>
              <w:bottom w:val="single" w:sz="4" w:space="0" w:color="auto"/>
              <w:right w:val="single" w:sz="4" w:space="0" w:color="auto"/>
            </w:tcBorders>
            <w:shd w:val="clear" w:color="auto" w:fill="auto"/>
            <w:noWrap/>
            <w:vAlign w:val="bottom"/>
            <w:hideMark/>
          </w:tcPr>
          <w:p w14:paraId="2553415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Toohey</w:t>
            </w:r>
          </w:p>
        </w:tc>
        <w:tc>
          <w:tcPr>
            <w:tcW w:w="1880" w:type="dxa"/>
            <w:tcBorders>
              <w:top w:val="nil"/>
              <w:left w:val="nil"/>
              <w:bottom w:val="single" w:sz="4" w:space="0" w:color="auto"/>
              <w:right w:val="single" w:sz="4" w:space="0" w:color="auto"/>
            </w:tcBorders>
            <w:shd w:val="clear" w:color="auto" w:fill="auto"/>
            <w:noWrap/>
            <w:vAlign w:val="bottom"/>
            <w:hideMark/>
          </w:tcPr>
          <w:p w14:paraId="05FE36C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00965BA0"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E28F5D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Business Council of Cooperatives and </w:t>
            </w:r>
            <w:proofErr w:type="spellStart"/>
            <w:r w:rsidRPr="00512BCC">
              <w:rPr>
                <w:rFonts w:ascii="Calibri" w:eastAsia="Times New Roman" w:hAnsi="Calibri" w:cs="Calibri"/>
                <w:color w:val="000000"/>
              </w:rPr>
              <w:t>Mutuals</w:t>
            </w:r>
            <w:proofErr w:type="spellEnd"/>
          </w:p>
        </w:tc>
        <w:tc>
          <w:tcPr>
            <w:tcW w:w="1447" w:type="dxa"/>
            <w:tcBorders>
              <w:top w:val="nil"/>
              <w:left w:val="nil"/>
              <w:bottom w:val="single" w:sz="4" w:space="0" w:color="auto"/>
              <w:right w:val="single" w:sz="4" w:space="0" w:color="auto"/>
            </w:tcBorders>
            <w:shd w:val="clear" w:color="auto" w:fill="auto"/>
            <w:noWrap/>
            <w:vAlign w:val="bottom"/>
            <w:hideMark/>
          </w:tcPr>
          <w:p w14:paraId="546CD68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Melina </w:t>
            </w:r>
          </w:p>
        </w:tc>
        <w:tc>
          <w:tcPr>
            <w:tcW w:w="1637" w:type="dxa"/>
            <w:tcBorders>
              <w:top w:val="nil"/>
              <w:left w:val="nil"/>
              <w:bottom w:val="single" w:sz="4" w:space="0" w:color="auto"/>
              <w:right w:val="single" w:sz="4" w:space="0" w:color="auto"/>
            </w:tcBorders>
            <w:shd w:val="clear" w:color="auto" w:fill="auto"/>
            <w:noWrap/>
            <w:vAlign w:val="bottom"/>
            <w:hideMark/>
          </w:tcPr>
          <w:p w14:paraId="6E6E0E0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Morrison</w:t>
            </w:r>
          </w:p>
        </w:tc>
        <w:tc>
          <w:tcPr>
            <w:tcW w:w="1880" w:type="dxa"/>
            <w:tcBorders>
              <w:top w:val="nil"/>
              <w:left w:val="nil"/>
              <w:bottom w:val="single" w:sz="4" w:space="0" w:color="auto"/>
              <w:right w:val="single" w:sz="4" w:space="0" w:color="auto"/>
            </w:tcBorders>
            <w:shd w:val="clear" w:color="auto" w:fill="auto"/>
            <w:noWrap/>
            <w:vAlign w:val="bottom"/>
            <w:hideMark/>
          </w:tcPr>
          <w:p w14:paraId="0F1DAD8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64DD0C23"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345C53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Carers Australia</w:t>
            </w:r>
          </w:p>
        </w:tc>
        <w:tc>
          <w:tcPr>
            <w:tcW w:w="1447" w:type="dxa"/>
            <w:tcBorders>
              <w:top w:val="nil"/>
              <w:left w:val="nil"/>
              <w:bottom w:val="single" w:sz="4" w:space="0" w:color="auto"/>
              <w:right w:val="single" w:sz="4" w:space="0" w:color="auto"/>
            </w:tcBorders>
            <w:shd w:val="clear" w:color="auto" w:fill="auto"/>
            <w:noWrap/>
            <w:vAlign w:val="bottom"/>
            <w:hideMark/>
          </w:tcPr>
          <w:p w14:paraId="46ABC2B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Ara</w:t>
            </w:r>
          </w:p>
        </w:tc>
        <w:tc>
          <w:tcPr>
            <w:tcW w:w="1637" w:type="dxa"/>
            <w:tcBorders>
              <w:top w:val="nil"/>
              <w:left w:val="nil"/>
              <w:bottom w:val="single" w:sz="4" w:space="0" w:color="auto"/>
              <w:right w:val="single" w:sz="4" w:space="0" w:color="auto"/>
            </w:tcBorders>
            <w:shd w:val="clear" w:color="auto" w:fill="auto"/>
            <w:noWrap/>
            <w:vAlign w:val="bottom"/>
            <w:hideMark/>
          </w:tcPr>
          <w:p w14:paraId="465AF0B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Cresswell</w:t>
            </w:r>
          </w:p>
        </w:tc>
        <w:tc>
          <w:tcPr>
            <w:tcW w:w="1880" w:type="dxa"/>
            <w:tcBorders>
              <w:top w:val="nil"/>
              <w:left w:val="nil"/>
              <w:bottom w:val="single" w:sz="4" w:space="0" w:color="auto"/>
              <w:right w:val="single" w:sz="4" w:space="0" w:color="auto"/>
            </w:tcBorders>
            <w:shd w:val="clear" w:color="auto" w:fill="auto"/>
            <w:noWrap/>
            <w:vAlign w:val="bottom"/>
            <w:hideMark/>
          </w:tcPr>
          <w:p w14:paraId="29D17E0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476345E7"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F27980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Centre for Social Impact</w:t>
            </w:r>
          </w:p>
        </w:tc>
        <w:tc>
          <w:tcPr>
            <w:tcW w:w="1447" w:type="dxa"/>
            <w:tcBorders>
              <w:top w:val="nil"/>
              <w:left w:val="nil"/>
              <w:bottom w:val="single" w:sz="4" w:space="0" w:color="auto"/>
              <w:right w:val="single" w:sz="4" w:space="0" w:color="auto"/>
            </w:tcBorders>
            <w:shd w:val="clear" w:color="auto" w:fill="auto"/>
            <w:noWrap/>
            <w:vAlign w:val="bottom"/>
            <w:hideMark/>
          </w:tcPr>
          <w:p w14:paraId="7CFEE01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Andrew </w:t>
            </w:r>
          </w:p>
        </w:tc>
        <w:tc>
          <w:tcPr>
            <w:tcW w:w="1637" w:type="dxa"/>
            <w:tcBorders>
              <w:top w:val="nil"/>
              <w:left w:val="nil"/>
              <w:bottom w:val="single" w:sz="4" w:space="0" w:color="auto"/>
              <w:right w:val="single" w:sz="4" w:space="0" w:color="auto"/>
            </w:tcBorders>
            <w:shd w:val="clear" w:color="auto" w:fill="auto"/>
            <w:noWrap/>
            <w:vAlign w:val="bottom"/>
            <w:hideMark/>
          </w:tcPr>
          <w:p w14:paraId="58E78CA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Young</w:t>
            </w:r>
          </w:p>
        </w:tc>
        <w:tc>
          <w:tcPr>
            <w:tcW w:w="1880" w:type="dxa"/>
            <w:tcBorders>
              <w:top w:val="nil"/>
              <w:left w:val="nil"/>
              <w:bottom w:val="single" w:sz="4" w:space="0" w:color="auto"/>
              <w:right w:val="single" w:sz="4" w:space="0" w:color="auto"/>
            </w:tcBorders>
            <w:shd w:val="clear" w:color="auto" w:fill="auto"/>
            <w:noWrap/>
            <w:vAlign w:val="bottom"/>
            <w:hideMark/>
          </w:tcPr>
          <w:p w14:paraId="460BA26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4376DB31"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67D96F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Church Communities Australia</w:t>
            </w:r>
          </w:p>
        </w:tc>
        <w:tc>
          <w:tcPr>
            <w:tcW w:w="1447" w:type="dxa"/>
            <w:tcBorders>
              <w:top w:val="nil"/>
              <w:left w:val="nil"/>
              <w:bottom w:val="single" w:sz="4" w:space="0" w:color="auto"/>
              <w:right w:val="single" w:sz="4" w:space="0" w:color="auto"/>
            </w:tcBorders>
            <w:shd w:val="clear" w:color="auto" w:fill="auto"/>
            <w:noWrap/>
            <w:vAlign w:val="bottom"/>
            <w:hideMark/>
          </w:tcPr>
          <w:p w14:paraId="5B16739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Chris </w:t>
            </w:r>
          </w:p>
        </w:tc>
        <w:tc>
          <w:tcPr>
            <w:tcW w:w="1637" w:type="dxa"/>
            <w:tcBorders>
              <w:top w:val="nil"/>
              <w:left w:val="nil"/>
              <w:bottom w:val="single" w:sz="4" w:space="0" w:color="auto"/>
              <w:right w:val="single" w:sz="4" w:space="0" w:color="auto"/>
            </w:tcBorders>
            <w:shd w:val="clear" w:color="auto" w:fill="auto"/>
            <w:noWrap/>
            <w:vAlign w:val="bottom"/>
            <w:hideMark/>
          </w:tcPr>
          <w:p w14:paraId="075CBE6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Voll</w:t>
            </w:r>
          </w:p>
        </w:tc>
        <w:tc>
          <w:tcPr>
            <w:tcW w:w="1880" w:type="dxa"/>
            <w:tcBorders>
              <w:top w:val="nil"/>
              <w:left w:val="nil"/>
              <w:bottom w:val="single" w:sz="4" w:space="0" w:color="auto"/>
              <w:right w:val="single" w:sz="4" w:space="0" w:color="auto"/>
            </w:tcBorders>
            <w:shd w:val="clear" w:color="auto" w:fill="auto"/>
            <w:noWrap/>
            <w:vAlign w:val="bottom"/>
            <w:hideMark/>
          </w:tcPr>
          <w:p w14:paraId="0C01FDE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63950DBA"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1C3B0D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Churches of Christ Vic and </w:t>
            </w:r>
            <w:proofErr w:type="spellStart"/>
            <w:r w:rsidRPr="00512BCC">
              <w:rPr>
                <w:rFonts w:ascii="Calibri" w:eastAsia="Times New Roman" w:hAnsi="Calibri" w:cs="Calibri"/>
                <w:color w:val="000000"/>
              </w:rPr>
              <w:t>Tas</w:t>
            </w:r>
            <w:proofErr w:type="spellEnd"/>
          </w:p>
        </w:tc>
        <w:tc>
          <w:tcPr>
            <w:tcW w:w="1447" w:type="dxa"/>
            <w:tcBorders>
              <w:top w:val="nil"/>
              <w:left w:val="nil"/>
              <w:bottom w:val="single" w:sz="4" w:space="0" w:color="auto"/>
              <w:right w:val="single" w:sz="4" w:space="0" w:color="auto"/>
            </w:tcBorders>
            <w:shd w:val="clear" w:color="auto" w:fill="auto"/>
            <w:noWrap/>
            <w:vAlign w:val="bottom"/>
            <w:hideMark/>
          </w:tcPr>
          <w:p w14:paraId="0B63A08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Gabriel</w:t>
            </w:r>
          </w:p>
        </w:tc>
        <w:tc>
          <w:tcPr>
            <w:tcW w:w="1637" w:type="dxa"/>
            <w:tcBorders>
              <w:top w:val="nil"/>
              <w:left w:val="nil"/>
              <w:bottom w:val="single" w:sz="4" w:space="0" w:color="auto"/>
              <w:right w:val="single" w:sz="4" w:space="0" w:color="auto"/>
            </w:tcBorders>
            <w:shd w:val="clear" w:color="auto" w:fill="auto"/>
            <w:noWrap/>
            <w:vAlign w:val="bottom"/>
            <w:hideMark/>
          </w:tcPr>
          <w:p w14:paraId="08129AB7"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Hingley</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4CC6040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Exec Director</w:t>
            </w:r>
          </w:p>
        </w:tc>
      </w:tr>
      <w:tr w:rsidR="00060937" w:rsidRPr="00512BCC" w14:paraId="3CFA1C50"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83C979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Community Based Support (</w:t>
            </w:r>
            <w:proofErr w:type="spellStart"/>
            <w:r w:rsidRPr="00512BCC">
              <w:rPr>
                <w:rFonts w:ascii="Calibri" w:eastAsia="Times New Roman" w:hAnsi="Calibri" w:cs="Calibri"/>
                <w:color w:val="000000"/>
              </w:rPr>
              <w:t>Tas</w:t>
            </w:r>
            <w:proofErr w:type="spellEnd"/>
            <w:r w:rsidRPr="00512BCC">
              <w:rPr>
                <w:rFonts w:ascii="Calibri" w:eastAsia="Times New Roman" w:hAnsi="Calibri" w:cs="Calibri"/>
                <w:color w:val="000000"/>
              </w:rPr>
              <w:t>)</w:t>
            </w:r>
          </w:p>
        </w:tc>
        <w:tc>
          <w:tcPr>
            <w:tcW w:w="1447" w:type="dxa"/>
            <w:tcBorders>
              <w:top w:val="nil"/>
              <w:left w:val="nil"/>
              <w:bottom w:val="single" w:sz="4" w:space="0" w:color="auto"/>
              <w:right w:val="single" w:sz="4" w:space="0" w:color="auto"/>
            </w:tcBorders>
            <w:shd w:val="clear" w:color="auto" w:fill="auto"/>
            <w:noWrap/>
            <w:vAlign w:val="bottom"/>
            <w:hideMark/>
          </w:tcPr>
          <w:p w14:paraId="778FB7A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Murray </w:t>
            </w:r>
          </w:p>
        </w:tc>
        <w:tc>
          <w:tcPr>
            <w:tcW w:w="1637" w:type="dxa"/>
            <w:tcBorders>
              <w:top w:val="nil"/>
              <w:left w:val="nil"/>
              <w:bottom w:val="single" w:sz="4" w:space="0" w:color="auto"/>
              <w:right w:val="single" w:sz="4" w:space="0" w:color="auto"/>
            </w:tcBorders>
            <w:shd w:val="clear" w:color="auto" w:fill="auto"/>
            <w:noWrap/>
            <w:vAlign w:val="bottom"/>
            <w:hideMark/>
          </w:tcPr>
          <w:p w14:paraId="5F86101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Coates</w:t>
            </w:r>
          </w:p>
        </w:tc>
        <w:tc>
          <w:tcPr>
            <w:tcW w:w="1880" w:type="dxa"/>
            <w:tcBorders>
              <w:top w:val="nil"/>
              <w:left w:val="nil"/>
              <w:bottom w:val="single" w:sz="4" w:space="0" w:color="auto"/>
              <w:right w:val="single" w:sz="4" w:space="0" w:color="auto"/>
            </w:tcBorders>
            <w:shd w:val="clear" w:color="auto" w:fill="auto"/>
            <w:noWrap/>
            <w:vAlign w:val="bottom"/>
            <w:hideMark/>
          </w:tcPr>
          <w:p w14:paraId="3523E44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06C475E8"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21D07B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Community Broadcasting Association of Australia</w:t>
            </w:r>
          </w:p>
        </w:tc>
        <w:tc>
          <w:tcPr>
            <w:tcW w:w="1447" w:type="dxa"/>
            <w:tcBorders>
              <w:top w:val="nil"/>
              <w:left w:val="nil"/>
              <w:bottom w:val="single" w:sz="4" w:space="0" w:color="auto"/>
              <w:right w:val="single" w:sz="4" w:space="0" w:color="auto"/>
            </w:tcBorders>
            <w:shd w:val="clear" w:color="auto" w:fill="auto"/>
            <w:noWrap/>
            <w:vAlign w:val="bottom"/>
            <w:hideMark/>
          </w:tcPr>
          <w:p w14:paraId="0EBD215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Jon</w:t>
            </w:r>
          </w:p>
        </w:tc>
        <w:tc>
          <w:tcPr>
            <w:tcW w:w="1637" w:type="dxa"/>
            <w:tcBorders>
              <w:top w:val="nil"/>
              <w:left w:val="nil"/>
              <w:bottom w:val="single" w:sz="4" w:space="0" w:color="auto"/>
              <w:right w:val="single" w:sz="4" w:space="0" w:color="auto"/>
            </w:tcBorders>
            <w:shd w:val="clear" w:color="auto" w:fill="auto"/>
            <w:noWrap/>
            <w:vAlign w:val="bottom"/>
            <w:hideMark/>
          </w:tcPr>
          <w:p w14:paraId="08B3D84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Bisset</w:t>
            </w:r>
          </w:p>
        </w:tc>
        <w:tc>
          <w:tcPr>
            <w:tcW w:w="1880" w:type="dxa"/>
            <w:tcBorders>
              <w:top w:val="nil"/>
              <w:left w:val="nil"/>
              <w:bottom w:val="single" w:sz="4" w:space="0" w:color="auto"/>
              <w:right w:val="single" w:sz="4" w:space="0" w:color="auto"/>
            </w:tcBorders>
            <w:shd w:val="clear" w:color="auto" w:fill="auto"/>
            <w:noWrap/>
            <w:vAlign w:val="bottom"/>
            <w:hideMark/>
          </w:tcPr>
          <w:p w14:paraId="767BCF1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09C2DD45"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39EC02F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Community Colleges Australia</w:t>
            </w:r>
          </w:p>
        </w:tc>
        <w:tc>
          <w:tcPr>
            <w:tcW w:w="1447" w:type="dxa"/>
            <w:tcBorders>
              <w:top w:val="nil"/>
              <w:left w:val="nil"/>
              <w:bottom w:val="single" w:sz="4" w:space="0" w:color="auto"/>
              <w:right w:val="single" w:sz="4" w:space="0" w:color="auto"/>
            </w:tcBorders>
            <w:shd w:val="clear" w:color="auto" w:fill="auto"/>
            <w:noWrap/>
            <w:vAlign w:val="bottom"/>
            <w:hideMark/>
          </w:tcPr>
          <w:p w14:paraId="2E39EA9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Don</w:t>
            </w:r>
          </w:p>
        </w:tc>
        <w:tc>
          <w:tcPr>
            <w:tcW w:w="1637" w:type="dxa"/>
            <w:tcBorders>
              <w:top w:val="nil"/>
              <w:left w:val="nil"/>
              <w:bottom w:val="single" w:sz="4" w:space="0" w:color="auto"/>
              <w:right w:val="single" w:sz="4" w:space="0" w:color="auto"/>
            </w:tcBorders>
            <w:shd w:val="clear" w:color="auto" w:fill="auto"/>
            <w:noWrap/>
            <w:vAlign w:val="bottom"/>
            <w:hideMark/>
          </w:tcPr>
          <w:p w14:paraId="7EE8585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Perlgut</w:t>
            </w:r>
          </w:p>
        </w:tc>
        <w:tc>
          <w:tcPr>
            <w:tcW w:w="1880" w:type="dxa"/>
            <w:tcBorders>
              <w:top w:val="nil"/>
              <w:left w:val="nil"/>
              <w:bottom w:val="single" w:sz="4" w:space="0" w:color="auto"/>
              <w:right w:val="single" w:sz="4" w:space="0" w:color="auto"/>
            </w:tcBorders>
            <w:shd w:val="clear" w:color="auto" w:fill="auto"/>
            <w:noWrap/>
            <w:vAlign w:val="bottom"/>
            <w:hideMark/>
          </w:tcPr>
          <w:p w14:paraId="329142F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12A49C10"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3AF43E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Connecting Up</w:t>
            </w:r>
          </w:p>
        </w:tc>
        <w:tc>
          <w:tcPr>
            <w:tcW w:w="1447" w:type="dxa"/>
            <w:tcBorders>
              <w:top w:val="nil"/>
              <w:left w:val="nil"/>
              <w:bottom w:val="single" w:sz="4" w:space="0" w:color="auto"/>
              <w:right w:val="single" w:sz="4" w:space="0" w:color="auto"/>
            </w:tcBorders>
            <w:shd w:val="clear" w:color="auto" w:fill="auto"/>
            <w:noWrap/>
            <w:vAlign w:val="bottom"/>
            <w:hideMark/>
          </w:tcPr>
          <w:p w14:paraId="45CC083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Anne </w:t>
            </w:r>
          </w:p>
        </w:tc>
        <w:tc>
          <w:tcPr>
            <w:tcW w:w="1637" w:type="dxa"/>
            <w:tcBorders>
              <w:top w:val="nil"/>
              <w:left w:val="nil"/>
              <w:bottom w:val="single" w:sz="4" w:space="0" w:color="auto"/>
              <w:right w:val="single" w:sz="4" w:space="0" w:color="auto"/>
            </w:tcBorders>
            <w:shd w:val="clear" w:color="auto" w:fill="auto"/>
            <w:noWrap/>
            <w:vAlign w:val="bottom"/>
            <w:hideMark/>
          </w:tcPr>
          <w:p w14:paraId="3F6350D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Gawen</w:t>
            </w:r>
          </w:p>
        </w:tc>
        <w:tc>
          <w:tcPr>
            <w:tcW w:w="1880" w:type="dxa"/>
            <w:tcBorders>
              <w:top w:val="nil"/>
              <w:left w:val="nil"/>
              <w:bottom w:val="single" w:sz="4" w:space="0" w:color="auto"/>
              <w:right w:val="single" w:sz="4" w:space="0" w:color="auto"/>
            </w:tcBorders>
            <w:shd w:val="clear" w:color="auto" w:fill="auto"/>
            <w:noWrap/>
            <w:vAlign w:val="bottom"/>
            <w:hideMark/>
          </w:tcPr>
          <w:p w14:paraId="6021FAE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501BB82F"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003C13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Drug Arm Australasia</w:t>
            </w:r>
          </w:p>
        </w:tc>
        <w:tc>
          <w:tcPr>
            <w:tcW w:w="1447" w:type="dxa"/>
            <w:tcBorders>
              <w:top w:val="nil"/>
              <w:left w:val="nil"/>
              <w:bottom w:val="single" w:sz="4" w:space="0" w:color="auto"/>
              <w:right w:val="single" w:sz="4" w:space="0" w:color="auto"/>
            </w:tcBorders>
            <w:shd w:val="clear" w:color="auto" w:fill="auto"/>
            <w:noWrap/>
            <w:vAlign w:val="bottom"/>
            <w:hideMark/>
          </w:tcPr>
          <w:p w14:paraId="3B19408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Dennis</w:t>
            </w:r>
          </w:p>
        </w:tc>
        <w:tc>
          <w:tcPr>
            <w:tcW w:w="1637" w:type="dxa"/>
            <w:tcBorders>
              <w:top w:val="nil"/>
              <w:left w:val="nil"/>
              <w:bottom w:val="single" w:sz="4" w:space="0" w:color="auto"/>
              <w:right w:val="single" w:sz="4" w:space="0" w:color="auto"/>
            </w:tcBorders>
            <w:shd w:val="clear" w:color="auto" w:fill="auto"/>
            <w:noWrap/>
            <w:vAlign w:val="bottom"/>
            <w:hideMark/>
          </w:tcPr>
          <w:p w14:paraId="52CDBFE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Young</w:t>
            </w:r>
          </w:p>
        </w:tc>
        <w:tc>
          <w:tcPr>
            <w:tcW w:w="1880" w:type="dxa"/>
            <w:tcBorders>
              <w:top w:val="nil"/>
              <w:left w:val="nil"/>
              <w:bottom w:val="single" w:sz="4" w:space="0" w:color="auto"/>
              <w:right w:val="single" w:sz="4" w:space="0" w:color="auto"/>
            </w:tcBorders>
            <w:shd w:val="clear" w:color="auto" w:fill="auto"/>
            <w:noWrap/>
            <w:vAlign w:val="bottom"/>
            <w:hideMark/>
          </w:tcPr>
          <w:p w14:paraId="3A46FB1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586A7823"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275D59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Emotion 21</w:t>
            </w:r>
          </w:p>
        </w:tc>
        <w:tc>
          <w:tcPr>
            <w:tcW w:w="1447" w:type="dxa"/>
            <w:tcBorders>
              <w:top w:val="nil"/>
              <w:left w:val="nil"/>
              <w:bottom w:val="single" w:sz="4" w:space="0" w:color="auto"/>
              <w:right w:val="single" w:sz="4" w:space="0" w:color="auto"/>
            </w:tcBorders>
            <w:shd w:val="clear" w:color="auto" w:fill="auto"/>
            <w:noWrap/>
            <w:vAlign w:val="bottom"/>
            <w:hideMark/>
          </w:tcPr>
          <w:p w14:paraId="0D8EE42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Claire</w:t>
            </w:r>
          </w:p>
        </w:tc>
        <w:tc>
          <w:tcPr>
            <w:tcW w:w="1637" w:type="dxa"/>
            <w:tcBorders>
              <w:top w:val="nil"/>
              <w:left w:val="nil"/>
              <w:bottom w:val="single" w:sz="4" w:space="0" w:color="auto"/>
              <w:right w:val="single" w:sz="4" w:space="0" w:color="auto"/>
            </w:tcBorders>
            <w:shd w:val="clear" w:color="auto" w:fill="auto"/>
            <w:noWrap/>
            <w:vAlign w:val="bottom"/>
            <w:hideMark/>
          </w:tcPr>
          <w:p w14:paraId="3DD2B8A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Vissenga</w:t>
            </w:r>
          </w:p>
        </w:tc>
        <w:tc>
          <w:tcPr>
            <w:tcW w:w="1880" w:type="dxa"/>
            <w:tcBorders>
              <w:top w:val="nil"/>
              <w:left w:val="nil"/>
              <w:bottom w:val="single" w:sz="4" w:space="0" w:color="auto"/>
              <w:right w:val="single" w:sz="4" w:space="0" w:color="auto"/>
            </w:tcBorders>
            <w:shd w:val="clear" w:color="auto" w:fill="auto"/>
            <w:noWrap/>
            <w:vAlign w:val="bottom"/>
            <w:hideMark/>
          </w:tcPr>
          <w:p w14:paraId="5801CEE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56CE4B58"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78FADD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Ethical Jobs</w:t>
            </w:r>
          </w:p>
        </w:tc>
        <w:tc>
          <w:tcPr>
            <w:tcW w:w="1447" w:type="dxa"/>
            <w:tcBorders>
              <w:top w:val="nil"/>
              <w:left w:val="nil"/>
              <w:bottom w:val="single" w:sz="4" w:space="0" w:color="auto"/>
              <w:right w:val="single" w:sz="4" w:space="0" w:color="auto"/>
            </w:tcBorders>
            <w:shd w:val="clear" w:color="auto" w:fill="auto"/>
            <w:noWrap/>
            <w:vAlign w:val="bottom"/>
            <w:hideMark/>
          </w:tcPr>
          <w:p w14:paraId="2E0D8DE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Michael </w:t>
            </w:r>
          </w:p>
        </w:tc>
        <w:tc>
          <w:tcPr>
            <w:tcW w:w="1637" w:type="dxa"/>
            <w:tcBorders>
              <w:top w:val="nil"/>
              <w:left w:val="nil"/>
              <w:bottom w:val="single" w:sz="4" w:space="0" w:color="auto"/>
              <w:right w:val="single" w:sz="4" w:space="0" w:color="auto"/>
            </w:tcBorders>
            <w:shd w:val="clear" w:color="auto" w:fill="auto"/>
            <w:noWrap/>
            <w:vAlign w:val="bottom"/>
            <w:hideMark/>
          </w:tcPr>
          <w:p w14:paraId="590A1E4D"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Cebon</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7439571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4A6DF044"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32D47E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Everyman</w:t>
            </w:r>
          </w:p>
        </w:tc>
        <w:tc>
          <w:tcPr>
            <w:tcW w:w="1447" w:type="dxa"/>
            <w:tcBorders>
              <w:top w:val="nil"/>
              <w:left w:val="nil"/>
              <w:bottom w:val="single" w:sz="4" w:space="0" w:color="auto"/>
              <w:right w:val="single" w:sz="4" w:space="0" w:color="auto"/>
            </w:tcBorders>
            <w:shd w:val="clear" w:color="auto" w:fill="auto"/>
            <w:noWrap/>
            <w:vAlign w:val="bottom"/>
            <w:hideMark/>
          </w:tcPr>
          <w:p w14:paraId="3B2C806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Greg </w:t>
            </w:r>
          </w:p>
        </w:tc>
        <w:tc>
          <w:tcPr>
            <w:tcW w:w="1637" w:type="dxa"/>
            <w:tcBorders>
              <w:top w:val="nil"/>
              <w:left w:val="nil"/>
              <w:bottom w:val="single" w:sz="4" w:space="0" w:color="auto"/>
              <w:right w:val="single" w:sz="4" w:space="0" w:color="auto"/>
            </w:tcBorders>
            <w:shd w:val="clear" w:color="auto" w:fill="auto"/>
            <w:noWrap/>
            <w:vAlign w:val="bottom"/>
            <w:hideMark/>
          </w:tcPr>
          <w:p w14:paraId="354793B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Aldridge</w:t>
            </w:r>
          </w:p>
        </w:tc>
        <w:tc>
          <w:tcPr>
            <w:tcW w:w="1880" w:type="dxa"/>
            <w:tcBorders>
              <w:top w:val="nil"/>
              <w:left w:val="nil"/>
              <w:bottom w:val="single" w:sz="4" w:space="0" w:color="auto"/>
              <w:right w:val="single" w:sz="4" w:space="0" w:color="auto"/>
            </w:tcBorders>
            <w:shd w:val="clear" w:color="auto" w:fill="auto"/>
            <w:noWrap/>
            <w:vAlign w:val="bottom"/>
            <w:hideMark/>
          </w:tcPr>
          <w:p w14:paraId="15FA9D3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1939DEF"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76A73DC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Foresters Community Finance</w:t>
            </w:r>
          </w:p>
        </w:tc>
        <w:tc>
          <w:tcPr>
            <w:tcW w:w="1447" w:type="dxa"/>
            <w:tcBorders>
              <w:top w:val="nil"/>
              <w:left w:val="nil"/>
              <w:bottom w:val="single" w:sz="4" w:space="0" w:color="auto"/>
              <w:right w:val="single" w:sz="4" w:space="0" w:color="auto"/>
            </w:tcBorders>
            <w:shd w:val="clear" w:color="auto" w:fill="auto"/>
            <w:noWrap/>
            <w:vAlign w:val="bottom"/>
            <w:hideMark/>
          </w:tcPr>
          <w:p w14:paraId="08F9529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Rhyll</w:t>
            </w:r>
          </w:p>
        </w:tc>
        <w:tc>
          <w:tcPr>
            <w:tcW w:w="1637" w:type="dxa"/>
            <w:tcBorders>
              <w:top w:val="nil"/>
              <w:left w:val="nil"/>
              <w:bottom w:val="single" w:sz="4" w:space="0" w:color="auto"/>
              <w:right w:val="single" w:sz="4" w:space="0" w:color="auto"/>
            </w:tcBorders>
            <w:shd w:val="clear" w:color="auto" w:fill="auto"/>
            <w:noWrap/>
            <w:vAlign w:val="bottom"/>
            <w:hideMark/>
          </w:tcPr>
          <w:p w14:paraId="5FE2EC6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Gardner</w:t>
            </w:r>
          </w:p>
        </w:tc>
        <w:tc>
          <w:tcPr>
            <w:tcW w:w="1880" w:type="dxa"/>
            <w:tcBorders>
              <w:top w:val="nil"/>
              <w:left w:val="nil"/>
              <w:bottom w:val="single" w:sz="4" w:space="0" w:color="auto"/>
              <w:right w:val="single" w:sz="4" w:space="0" w:color="auto"/>
            </w:tcBorders>
            <w:shd w:val="clear" w:color="auto" w:fill="auto"/>
            <w:noWrap/>
            <w:vAlign w:val="bottom"/>
            <w:hideMark/>
          </w:tcPr>
          <w:p w14:paraId="1F9350E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1F552F53"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71EC8D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Foundation for Alcohol Research and Education</w:t>
            </w:r>
          </w:p>
        </w:tc>
        <w:tc>
          <w:tcPr>
            <w:tcW w:w="1447" w:type="dxa"/>
            <w:tcBorders>
              <w:top w:val="nil"/>
              <w:left w:val="nil"/>
              <w:bottom w:val="single" w:sz="4" w:space="0" w:color="auto"/>
              <w:right w:val="single" w:sz="4" w:space="0" w:color="auto"/>
            </w:tcBorders>
            <w:shd w:val="clear" w:color="auto" w:fill="auto"/>
            <w:noWrap/>
            <w:vAlign w:val="bottom"/>
            <w:hideMark/>
          </w:tcPr>
          <w:p w14:paraId="030CCDF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Michael </w:t>
            </w:r>
          </w:p>
        </w:tc>
        <w:tc>
          <w:tcPr>
            <w:tcW w:w="1637" w:type="dxa"/>
            <w:tcBorders>
              <w:top w:val="nil"/>
              <w:left w:val="nil"/>
              <w:bottom w:val="single" w:sz="4" w:space="0" w:color="auto"/>
              <w:right w:val="single" w:sz="4" w:space="0" w:color="auto"/>
            </w:tcBorders>
            <w:shd w:val="clear" w:color="auto" w:fill="auto"/>
            <w:noWrap/>
            <w:vAlign w:val="bottom"/>
            <w:hideMark/>
          </w:tcPr>
          <w:p w14:paraId="1D46EE2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Thorn </w:t>
            </w:r>
          </w:p>
        </w:tc>
        <w:tc>
          <w:tcPr>
            <w:tcW w:w="1880" w:type="dxa"/>
            <w:tcBorders>
              <w:top w:val="nil"/>
              <w:left w:val="nil"/>
              <w:bottom w:val="single" w:sz="4" w:space="0" w:color="auto"/>
              <w:right w:val="single" w:sz="4" w:space="0" w:color="auto"/>
            </w:tcBorders>
            <w:shd w:val="clear" w:color="auto" w:fill="auto"/>
            <w:noWrap/>
            <w:vAlign w:val="bottom"/>
            <w:hideMark/>
          </w:tcPr>
          <w:p w14:paraId="452B0B1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1BEE111A"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2053EF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Foundation for Young Australians</w:t>
            </w:r>
          </w:p>
        </w:tc>
        <w:tc>
          <w:tcPr>
            <w:tcW w:w="1447" w:type="dxa"/>
            <w:tcBorders>
              <w:top w:val="nil"/>
              <w:left w:val="nil"/>
              <w:bottom w:val="single" w:sz="4" w:space="0" w:color="auto"/>
              <w:right w:val="single" w:sz="4" w:space="0" w:color="auto"/>
            </w:tcBorders>
            <w:shd w:val="clear" w:color="auto" w:fill="auto"/>
            <w:noWrap/>
            <w:vAlign w:val="bottom"/>
            <w:hideMark/>
          </w:tcPr>
          <w:p w14:paraId="3E4CA1C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Jan</w:t>
            </w:r>
          </w:p>
        </w:tc>
        <w:tc>
          <w:tcPr>
            <w:tcW w:w="1637" w:type="dxa"/>
            <w:tcBorders>
              <w:top w:val="nil"/>
              <w:left w:val="nil"/>
              <w:bottom w:val="single" w:sz="4" w:space="0" w:color="auto"/>
              <w:right w:val="single" w:sz="4" w:space="0" w:color="auto"/>
            </w:tcBorders>
            <w:shd w:val="clear" w:color="auto" w:fill="auto"/>
            <w:noWrap/>
            <w:vAlign w:val="bottom"/>
            <w:hideMark/>
          </w:tcPr>
          <w:p w14:paraId="1CE8382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Owen</w:t>
            </w:r>
          </w:p>
        </w:tc>
        <w:tc>
          <w:tcPr>
            <w:tcW w:w="1880" w:type="dxa"/>
            <w:tcBorders>
              <w:top w:val="nil"/>
              <w:left w:val="nil"/>
              <w:bottom w:val="single" w:sz="4" w:space="0" w:color="auto"/>
              <w:right w:val="single" w:sz="4" w:space="0" w:color="auto"/>
            </w:tcBorders>
            <w:shd w:val="clear" w:color="auto" w:fill="auto"/>
            <w:noWrap/>
            <w:vAlign w:val="bottom"/>
            <w:hideMark/>
          </w:tcPr>
          <w:p w14:paraId="13BEDB4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1A124210"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712C6A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Fragile</w:t>
            </w:r>
            <w:r>
              <w:rPr>
                <w:rFonts w:ascii="Calibri" w:eastAsia="Times New Roman" w:hAnsi="Calibri" w:cs="Calibri"/>
                <w:color w:val="000000"/>
              </w:rPr>
              <w:t xml:space="preserve"> </w:t>
            </w:r>
            <w:r w:rsidRPr="00512BCC">
              <w:rPr>
                <w:rFonts w:ascii="Calibri" w:eastAsia="Times New Roman" w:hAnsi="Calibri" w:cs="Calibri"/>
                <w:color w:val="000000"/>
              </w:rPr>
              <w:t>X Association of Australia</w:t>
            </w:r>
          </w:p>
        </w:tc>
        <w:tc>
          <w:tcPr>
            <w:tcW w:w="1447" w:type="dxa"/>
            <w:tcBorders>
              <w:top w:val="nil"/>
              <w:left w:val="nil"/>
              <w:bottom w:val="single" w:sz="4" w:space="0" w:color="auto"/>
              <w:right w:val="single" w:sz="4" w:space="0" w:color="auto"/>
            </w:tcBorders>
            <w:shd w:val="clear" w:color="auto" w:fill="auto"/>
            <w:noWrap/>
            <w:vAlign w:val="bottom"/>
            <w:hideMark/>
          </w:tcPr>
          <w:p w14:paraId="465C7F1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Wendy</w:t>
            </w:r>
          </w:p>
        </w:tc>
        <w:tc>
          <w:tcPr>
            <w:tcW w:w="1637" w:type="dxa"/>
            <w:tcBorders>
              <w:top w:val="nil"/>
              <w:left w:val="nil"/>
              <w:bottom w:val="single" w:sz="4" w:space="0" w:color="auto"/>
              <w:right w:val="single" w:sz="4" w:space="0" w:color="auto"/>
            </w:tcBorders>
            <w:shd w:val="clear" w:color="auto" w:fill="auto"/>
            <w:noWrap/>
            <w:vAlign w:val="bottom"/>
            <w:hideMark/>
          </w:tcPr>
          <w:p w14:paraId="6585521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Bruce</w:t>
            </w:r>
          </w:p>
        </w:tc>
        <w:tc>
          <w:tcPr>
            <w:tcW w:w="1880" w:type="dxa"/>
            <w:tcBorders>
              <w:top w:val="nil"/>
              <w:left w:val="nil"/>
              <w:bottom w:val="single" w:sz="4" w:space="0" w:color="auto"/>
              <w:right w:val="single" w:sz="4" w:space="0" w:color="auto"/>
            </w:tcBorders>
            <w:shd w:val="clear" w:color="auto" w:fill="auto"/>
            <w:noWrap/>
            <w:vAlign w:val="bottom"/>
            <w:hideMark/>
          </w:tcPr>
          <w:p w14:paraId="46AA9B3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C8715A9"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97D1D8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Fundraising Institute of Australia</w:t>
            </w:r>
          </w:p>
        </w:tc>
        <w:tc>
          <w:tcPr>
            <w:tcW w:w="1447" w:type="dxa"/>
            <w:tcBorders>
              <w:top w:val="nil"/>
              <w:left w:val="nil"/>
              <w:bottom w:val="single" w:sz="4" w:space="0" w:color="auto"/>
              <w:right w:val="single" w:sz="4" w:space="0" w:color="auto"/>
            </w:tcBorders>
            <w:shd w:val="clear" w:color="auto" w:fill="auto"/>
            <w:noWrap/>
            <w:vAlign w:val="bottom"/>
            <w:hideMark/>
          </w:tcPr>
          <w:p w14:paraId="5FE39DD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Rob</w:t>
            </w:r>
          </w:p>
        </w:tc>
        <w:tc>
          <w:tcPr>
            <w:tcW w:w="1637" w:type="dxa"/>
            <w:tcBorders>
              <w:top w:val="nil"/>
              <w:left w:val="nil"/>
              <w:bottom w:val="single" w:sz="4" w:space="0" w:color="auto"/>
              <w:right w:val="single" w:sz="4" w:space="0" w:color="auto"/>
            </w:tcBorders>
            <w:shd w:val="clear" w:color="auto" w:fill="auto"/>
            <w:noWrap/>
            <w:vAlign w:val="bottom"/>
            <w:hideMark/>
          </w:tcPr>
          <w:p w14:paraId="3A2AFEF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Edwards</w:t>
            </w:r>
          </w:p>
        </w:tc>
        <w:tc>
          <w:tcPr>
            <w:tcW w:w="1880" w:type="dxa"/>
            <w:tcBorders>
              <w:top w:val="nil"/>
              <w:left w:val="nil"/>
              <w:bottom w:val="single" w:sz="4" w:space="0" w:color="auto"/>
              <w:right w:val="single" w:sz="4" w:space="0" w:color="auto"/>
            </w:tcBorders>
            <w:shd w:val="clear" w:color="auto" w:fill="auto"/>
            <w:noWrap/>
            <w:vAlign w:val="bottom"/>
            <w:hideMark/>
          </w:tcPr>
          <w:p w14:paraId="1E8557D4" w14:textId="77777777" w:rsidR="00060937" w:rsidRPr="00512BCC" w:rsidRDefault="00776ADF" w:rsidP="00060937">
            <w:pPr>
              <w:contextualSpacing/>
              <w:rPr>
                <w:rFonts w:ascii="Calibri" w:eastAsia="Times New Roman" w:hAnsi="Calibri" w:cs="Calibri"/>
                <w:color w:val="000000"/>
              </w:rPr>
            </w:pPr>
            <w:hyperlink r:id="rId11" w:history="1">
              <w:r w:rsidR="00060937" w:rsidRPr="00512BCC">
                <w:rPr>
                  <w:rFonts w:ascii="Calibri" w:eastAsia="Times New Roman" w:hAnsi="Calibri" w:cs="Calibri"/>
                  <w:color w:val="000000"/>
                </w:rPr>
                <w:t>CEO</w:t>
              </w:r>
            </w:hyperlink>
          </w:p>
        </w:tc>
      </w:tr>
      <w:tr w:rsidR="00060937" w:rsidRPr="00512BCC" w14:paraId="4D3F6D24"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556F6B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Good Samaritan Foundation</w:t>
            </w:r>
          </w:p>
        </w:tc>
        <w:tc>
          <w:tcPr>
            <w:tcW w:w="1447" w:type="dxa"/>
            <w:tcBorders>
              <w:top w:val="nil"/>
              <w:left w:val="nil"/>
              <w:bottom w:val="single" w:sz="4" w:space="0" w:color="auto"/>
              <w:right w:val="single" w:sz="4" w:space="0" w:color="auto"/>
            </w:tcBorders>
            <w:shd w:val="clear" w:color="auto" w:fill="auto"/>
            <w:noWrap/>
            <w:vAlign w:val="bottom"/>
            <w:hideMark/>
          </w:tcPr>
          <w:p w14:paraId="5442DFB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Catherine</w:t>
            </w:r>
          </w:p>
        </w:tc>
        <w:tc>
          <w:tcPr>
            <w:tcW w:w="1637" w:type="dxa"/>
            <w:tcBorders>
              <w:top w:val="nil"/>
              <w:left w:val="nil"/>
              <w:bottom w:val="single" w:sz="4" w:space="0" w:color="auto"/>
              <w:right w:val="single" w:sz="4" w:space="0" w:color="auto"/>
            </w:tcBorders>
            <w:shd w:val="clear" w:color="auto" w:fill="auto"/>
            <w:noWrap/>
            <w:vAlign w:val="bottom"/>
            <w:hideMark/>
          </w:tcPr>
          <w:p w14:paraId="248D02D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Cresswell</w:t>
            </w:r>
          </w:p>
        </w:tc>
        <w:tc>
          <w:tcPr>
            <w:tcW w:w="1880" w:type="dxa"/>
            <w:tcBorders>
              <w:top w:val="nil"/>
              <w:left w:val="nil"/>
              <w:bottom w:val="single" w:sz="4" w:space="0" w:color="auto"/>
              <w:right w:val="single" w:sz="4" w:space="0" w:color="auto"/>
            </w:tcBorders>
            <w:shd w:val="clear" w:color="auto" w:fill="auto"/>
            <w:noWrap/>
            <w:vAlign w:val="bottom"/>
            <w:hideMark/>
          </w:tcPr>
          <w:p w14:paraId="50B1BA2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Executive Director</w:t>
            </w:r>
          </w:p>
        </w:tc>
      </w:tr>
      <w:tr w:rsidR="00D02360" w:rsidRPr="00512BCC" w14:paraId="6879E386" w14:textId="77777777" w:rsidTr="00776ADF">
        <w:trPr>
          <w:trHeight w:val="288"/>
        </w:trPr>
        <w:tc>
          <w:tcPr>
            <w:tcW w:w="9744" w:type="dxa"/>
            <w:gridSpan w:val="4"/>
            <w:tcBorders>
              <w:top w:val="nil"/>
              <w:left w:val="single" w:sz="4" w:space="0" w:color="auto"/>
              <w:bottom w:val="single" w:sz="4" w:space="0" w:color="auto"/>
              <w:right w:val="single" w:sz="4" w:space="0" w:color="auto"/>
            </w:tcBorders>
            <w:shd w:val="clear" w:color="auto" w:fill="auto"/>
            <w:noWrap/>
            <w:vAlign w:val="bottom"/>
          </w:tcPr>
          <w:p w14:paraId="7D0CA098" w14:textId="47B0049B" w:rsidR="00D02360" w:rsidRPr="00512BCC" w:rsidRDefault="00D02360" w:rsidP="00060937">
            <w:pPr>
              <w:contextualSpacing/>
              <w:rPr>
                <w:rFonts w:ascii="Calibri" w:eastAsia="Times New Roman" w:hAnsi="Calibri" w:cs="Calibri"/>
                <w:color w:val="000000"/>
              </w:rPr>
            </w:pPr>
            <w:r w:rsidRPr="00D02360">
              <w:rPr>
                <w:rFonts w:ascii="Calibri" w:eastAsia="Times New Roman" w:hAnsi="Calibri" w:cs="Calibri"/>
                <w:b/>
                <w:color w:val="000000"/>
                <w:sz w:val="28"/>
                <w:szCs w:val="28"/>
              </w:rPr>
              <w:lastRenderedPageBreak/>
              <w:t>Organisation</w:t>
            </w:r>
          </w:p>
        </w:tc>
      </w:tr>
      <w:tr w:rsidR="00060937" w:rsidRPr="00512BCC" w14:paraId="558BBE70"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54AEB6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Good to Give</w:t>
            </w:r>
          </w:p>
        </w:tc>
        <w:tc>
          <w:tcPr>
            <w:tcW w:w="1447" w:type="dxa"/>
            <w:tcBorders>
              <w:top w:val="nil"/>
              <w:left w:val="nil"/>
              <w:bottom w:val="single" w:sz="4" w:space="0" w:color="auto"/>
              <w:right w:val="single" w:sz="4" w:space="0" w:color="auto"/>
            </w:tcBorders>
            <w:shd w:val="clear" w:color="auto" w:fill="auto"/>
            <w:noWrap/>
            <w:vAlign w:val="bottom"/>
            <w:hideMark/>
          </w:tcPr>
          <w:p w14:paraId="7635826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Lisa</w:t>
            </w:r>
          </w:p>
        </w:tc>
        <w:tc>
          <w:tcPr>
            <w:tcW w:w="1637" w:type="dxa"/>
            <w:tcBorders>
              <w:top w:val="nil"/>
              <w:left w:val="nil"/>
              <w:bottom w:val="single" w:sz="4" w:space="0" w:color="auto"/>
              <w:right w:val="single" w:sz="4" w:space="0" w:color="auto"/>
            </w:tcBorders>
            <w:shd w:val="clear" w:color="auto" w:fill="auto"/>
            <w:noWrap/>
            <w:vAlign w:val="bottom"/>
            <w:hideMark/>
          </w:tcPr>
          <w:p w14:paraId="7DD91EF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Grinham</w:t>
            </w:r>
          </w:p>
        </w:tc>
        <w:tc>
          <w:tcPr>
            <w:tcW w:w="1880" w:type="dxa"/>
            <w:tcBorders>
              <w:top w:val="nil"/>
              <w:left w:val="nil"/>
              <w:bottom w:val="single" w:sz="4" w:space="0" w:color="auto"/>
              <w:right w:val="single" w:sz="4" w:space="0" w:color="auto"/>
            </w:tcBorders>
            <w:shd w:val="clear" w:color="auto" w:fill="auto"/>
            <w:noWrap/>
            <w:vAlign w:val="bottom"/>
            <w:hideMark/>
          </w:tcPr>
          <w:p w14:paraId="0D857FF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2B3642DA"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D15AAFF"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Hammondcare</w:t>
            </w:r>
            <w:proofErr w:type="spellEnd"/>
          </w:p>
        </w:tc>
        <w:tc>
          <w:tcPr>
            <w:tcW w:w="1447" w:type="dxa"/>
            <w:tcBorders>
              <w:top w:val="nil"/>
              <w:left w:val="nil"/>
              <w:bottom w:val="single" w:sz="4" w:space="0" w:color="auto"/>
              <w:right w:val="single" w:sz="4" w:space="0" w:color="auto"/>
            </w:tcBorders>
            <w:shd w:val="clear" w:color="auto" w:fill="auto"/>
            <w:noWrap/>
            <w:vAlign w:val="bottom"/>
            <w:hideMark/>
          </w:tcPr>
          <w:p w14:paraId="734DF07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Stephen </w:t>
            </w:r>
          </w:p>
        </w:tc>
        <w:tc>
          <w:tcPr>
            <w:tcW w:w="1637" w:type="dxa"/>
            <w:tcBorders>
              <w:top w:val="nil"/>
              <w:left w:val="nil"/>
              <w:bottom w:val="single" w:sz="4" w:space="0" w:color="auto"/>
              <w:right w:val="single" w:sz="4" w:space="0" w:color="auto"/>
            </w:tcBorders>
            <w:shd w:val="clear" w:color="auto" w:fill="auto"/>
            <w:noWrap/>
            <w:vAlign w:val="bottom"/>
            <w:hideMark/>
          </w:tcPr>
          <w:p w14:paraId="100E305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Judd</w:t>
            </w:r>
          </w:p>
        </w:tc>
        <w:tc>
          <w:tcPr>
            <w:tcW w:w="1880" w:type="dxa"/>
            <w:tcBorders>
              <w:top w:val="nil"/>
              <w:left w:val="nil"/>
              <w:bottom w:val="single" w:sz="4" w:space="0" w:color="auto"/>
              <w:right w:val="single" w:sz="4" w:space="0" w:color="auto"/>
            </w:tcBorders>
            <w:shd w:val="clear" w:color="auto" w:fill="auto"/>
            <w:noWrap/>
            <w:vAlign w:val="bottom"/>
            <w:hideMark/>
          </w:tcPr>
          <w:p w14:paraId="0B6134E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654B6F3B"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BAF77FD"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Hillsong</w:t>
            </w:r>
            <w:proofErr w:type="spellEnd"/>
            <w:r w:rsidRPr="00512BCC">
              <w:rPr>
                <w:rFonts w:ascii="Calibri" w:eastAsia="Times New Roman" w:hAnsi="Calibri" w:cs="Calibri"/>
                <w:color w:val="000000"/>
              </w:rPr>
              <w:t xml:space="preserve"> Church</w:t>
            </w:r>
          </w:p>
        </w:tc>
        <w:tc>
          <w:tcPr>
            <w:tcW w:w="1447" w:type="dxa"/>
            <w:tcBorders>
              <w:top w:val="nil"/>
              <w:left w:val="nil"/>
              <w:bottom w:val="single" w:sz="4" w:space="0" w:color="auto"/>
              <w:right w:val="single" w:sz="4" w:space="0" w:color="auto"/>
            </w:tcBorders>
            <w:shd w:val="clear" w:color="auto" w:fill="auto"/>
            <w:noWrap/>
            <w:vAlign w:val="bottom"/>
            <w:hideMark/>
          </w:tcPr>
          <w:p w14:paraId="759B1A1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George  </w:t>
            </w:r>
          </w:p>
        </w:tc>
        <w:tc>
          <w:tcPr>
            <w:tcW w:w="1637" w:type="dxa"/>
            <w:tcBorders>
              <w:top w:val="nil"/>
              <w:left w:val="nil"/>
              <w:bottom w:val="single" w:sz="4" w:space="0" w:color="auto"/>
              <w:right w:val="single" w:sz="4" w:space="0" w:color="auto"/>
            </w:tcBorders>
            <w:shd w:val="clear" w:color="auto" w:fill="auto"/>
            <w:noWrap/>
            <w:vAlign w:val="bottom"/>
            <w:hideMark/>
          </w:tcPr>
          <w:p w14:paraId="5A450E3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Aghajanian</w:t>
            </w:r>
          </w:p>
        </w:tc>
        <w:tc>
          <w:tcPr>
            <w:tcW w:w="1880" w:type="dxa"/>
            <w:tcBorders>
              <w:top w:val="nil"/>
              <w:left w:val="nil"/>
              <w:bottom w:val="single" w:sz="4" w:space="0" w:color="auto"/>
              <w:right w:val="single" w:sz="4" w:space="0" w:color="auto"/>
            </w:tcBorders>
            <w:shd w:val="clear" w:color="auto" w:fill="auto"/>
            <w:noWrap/>
            <w:vAlign w:val="bottom"/>
            <w:hideMark/>
          </w:tcPr>
          <w:p w14:paraId="263F4BC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33BF5FB0"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9F7050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Justice Connect</w:t>
            </w:r>
          </w:p>
        </w:tc>
        <w:tc>
          <w:tcPr>
            <w:tcW w:w="1447" w:type="dxa"/>
            <w:tcBorders>
              <w:top w:val="nil"/>
              <w:left w:val="nil"/>
              <w:bottom w:val="single" w:sz="4" w:space="0" w:color="auto"/>
              <w:right w:val="single" w:sz="4" w:space="0" w:color="auto"/>
            </w:tcBorders>
            <w:shd w:val="clear" w:color="auto" w:fill="auto"/>
            <w:noWrap/>
            <w:vAlign w:val="bottom"/>
            <w:hideMark/>
          </w:tcPr>
          <w:p w14:paraId="348881C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Fiona</w:t>
            </w:r>
          </w:p>
        </w:tc>
        <w:tc>
          <w:tcPr>
            <w:tcW w:w="1637" w:type="dxa"/>
            <w:tcBorders>
              <w:top w:val="nil"/>
              <w:left w:val="nil"/>
              <w:bottom w:val="single" w:sz="4" w:space="0" w:color="auto"/>
              <w:right w:val="single" w:sz="4" w:space="0" w:color="auto"/>
            </w:tcBorders>
            <w:shd w:val="clear" w:color="auto" w:fill="auto"/>
            <w:noWrap/>
            <w:vAlign w:val="bottom"/>
            <w:hideMark/>
          </w:tcPr>
          <w:p w14:paraId="73E8B8B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McLeay</w:t>
            </w:r>
          </w:p>
        </w:tc>
        <w:tc>
          <w:tcPr>
            <w:tcW w:w="1880" w:type="dxa"/>
            <w:tcBorders>
              <w:top w:val="nil"/>
              <w:left w:val="nil"/>
              <w:bottom w:val="single" w:sz="4" w:space="0" w:color="auto"/>
              <w:right w:val="single" w:sz="4" w:space="0" w:color="auto"/>
            </w:tcBorders>
            <w:shd w:val="clear" w:color="auto" w:fill="auto"/>
            <w:noWrap/>
            <w:vAlign w:val="bottom"/>
            <w:hideMark/>
          </w:tcPr>
          <w:p w14:paraId="420422F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7297D6B"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FC6AE9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Life Without Barriers</w:t>
            </w:r>
          </w:p>
        </w:tc>
        <w:tc>
          <w:tcPr>
            <w:tcW w:w="1447" w:type="dxa"/>
            <w:tcBorders>
              <w:top w:val="nil"/>
              <w:left w:val="nil"/>
              <w:bottom w:val="single" w:sz="4" w:space="0" w:color="auto"/>
              <w:right w:val="single" w:sz="4" w:space="0" w:color="auto"/>
            </w:tcBorders>
            <w:shd w:val="clear" w:color="auto" w:fill="auto"/>
            <w:noWrap/>
            <w:vAlign w:val="bottom"/>
            <w:hideMark/>
          </w:tcPr>
          <w:p w14:paraId="1425A86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Claire</w:t>
            </w:r>
          </w:p>
        </w:tc>
        <w:tc>
          <w:tcPr>
            <w:tcW w:w="1637" w:type="dxa"/>
            <w:tcBorders>
              <w:top w:val="nil"/>
              <w:left w:val="nil"/>
              <w:bottom w:val="single" w:sz="4" w:space="0" w:color="auto"/>
              <w:right w:val="single" w:sz="4" w:space="0" w:color="auto"/>
            </w:tcBorders>
            <w:shd w:val="clear" w:color="auto" w:fill="auto"/>
            <w:noWrap/>
            <w:vAlign w:val="bottom"/>
            <w:hideMark/>
          </w:tcPr>
          <w:p w14:paraId="03BA82C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Robbs</w:t>
            </w:r>
          </w:p>
        </w:tc>
        <w:tc>
          <w:tcPr>
            <w:tcW w:w="1880" w:type="dxa"/>
            <w:tcBorders>
              <w:top w:val="nil"/>
              <w:left w:val="nil"/>
              <w:bottom w:val="single" w:sz="4" w:space="0" w:color="auto"/>
              <w:right w:val="single" w:sz="4" w:space="0" w:color="auto"/>
            </w:tcBorders>
            <w:shd w:val="clear" w:color="auto" w:fill="auto"/>
            <w:noWrap/>
            <w:vAlign w:val="bottom"/>
            <w:hideMark/>
          </w:tcPr>
          <w:p w14:paraId="25382D2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2D120432"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DBD77E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Mater Foundation</w:t>
            </w:r>
          </w:p>
        </w:tc>
        <w:tc>
          <w:tcPr>
            <w:tcW w:w="1447" w:type="dxa"/>
            <w:tcBorders>
              <w:top w:val="nil"/>
              <w:left w:val="nil"/>
              <w:bottom w:val="single" w:sz="4" w:space="0" w:color="auto"/>
              <w:right w:val="single" w:sz="4" w:space="0" w:color="auto"/>
            </w:tcBorders>
            <w:shd w:val="clear" w:color="auto" w:fill="auto"/>
            <w:noWrap/>
            <w:vAlign w:val="bottom"/>
            <w:hideMark/>
          </w:tcPr>
          <w:p w14:paraId="38AE4A9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Nigel</w:t>
            </w:r>
          </w:p>
        </w:tc>
        <w:tc>
          <w:tcPr>
            <w:tcW w:w="1637" w:type="dxa"/>
            <w:tcBorders>
              <w:top w:val="nil"/>
              <w:left w:val="nil"/>
              <w:bottom w:val="single" w:sz="4" w:space="0" w:color="auto"/>
              <w:right w:val="single" w:sz="4" w:space="0" w:color="auto"/>
            </w:tcBorders>
            <w:shd w:val="clear" w:color="auto" w:fill="auto"/>
            <w:noWrap/>
            <w:vAlign w:val="bottom"/>
            <w:hideMark/>
          </w:tcPr>
          <w:p w14:paraId="116F482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Harris</w:t>
            </w:r>
          </w:p>
        </w:tc>
        <w:tc>
          <w:tcPr>
            <w:tcW w:w="1880" w:type="dxa"/>
            <w:tcBorders>
              <w:top w:val="nil"/>
              <w:left w:val="nil"/>
              <w:bottom w:val="single" w:sz="4" w:space="0" w:color="auto"/>
              <w:right w:val="single" w:sz="4" w:space="0" w:color="auto"/>
            </w:tcBorders>
            <w:shd w:val="clear" w:color="auto" w:fill="auto"/>
            <w:noWrap/>
            <w:vAlign w:val="bottom"/>
            <w:hideMark/>
          </w:tcPr>
          <w:p w14:paraId="752F27A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22023193"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737BED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Mission Australia</w:t>
            </w:r>
          </w:p>
        </w:tc>
        <w:tc>
          <w:tcPr>
            <w:tcW w:w="1447" w:type="dxa"/>
            <w:tcBorders>
              <w:top w:val="nil"/>
              <w:left w:val="nil"/>
              <w:bottom w:val="single" w:sz="4" w:space="0" w:color="auto"/>
              <w:right w:val="single" w:sz="4" w:space="0" w:color="auto"/>
            </w:tcBorders>
            <w:shd w:val="clear" w:color="auto" w:fill="auto"/>
            <w:noWrap/>
            <w:vAlign w:val="bottom"/>
            <w:hideMark/>
          </w:tcPr>
          <w:p w14:paraId="20A02AC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Catherine</w:t>
            </w:r>
          </w:p>
        </w:tc>
        <w:tc>
          <w:tcPr>
            <w:tcW w:w="1637" w:type="dxa"/>
            <w:tcBorders>
              <w:top w:val="nil"/>
              <w:left w:val="nil"/>
              <w:bottom w:val="single" w:sz="4" w:space="0" w:color="auto"/>
              <w:right w:val="single" w:sz="4" w:space="0" w:color="auto"/>
            </w:tcBorders>
            <w:shd w:val="clear" w:color="auto" w:fill="auto"/>
            <w:noWrap/>
            <w:vAlign w:val="bottom"/>
            <w:hideMark/>
          </w:tcPr>
          <w:p w14:paraId="3B96A9E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Yeomans</w:t>
            </w:r>
          </w:p>
        </w:tc>
        <w:tc>
          <w:tcPr>
            <w:tcW w:w="1880" w:type="dxa"/>
            <w:tcBorders>
              <w:top w:val="nil"/>
              <w:left w:val="nil"/>
              <w:bottom w:val="single" w:sz="4" w:space="0" w:color="auto"/>
              <w:right w:val="single" w:sz="4" w:space="0" w:color="auto"/>
            </w:tcBorders>
            <w:shd w:val="clear" w:color="auto" w:fill="auto"/>
            <w:noWrap/>
            <w:vAlign w:val="bottom"/>
            <w:hideMark/>
          </w:tcPr>
          <w:p w14:paraId="1E00DBE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4C2C03E1"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9348E6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Missions Interlink</w:t>
            </w:r>
          </w:p>
        </w:tc>
        <w:tc>
          <w:tcPr>
            <w:tcW w:w="1447" w:type="dxa"/>
            <w:tcBorders>
              <w:top w:val="nil"/>
              <w:left w:val="nil"/>
              <w:bottom w:val="single" w:sz="4" w:space="0" w:color="auto"/>
              <w:right w:val="single" w:sz="4" w:space="0" w:color="auto"/>
            </w:tcBorders>
            <w:shd w:val="clear" w:color="auto" w:fill="auto"/>
            <w:noWrap/>
            <w:vAlign w:val="bottom"/>
            <w:hideMark/>
          </w:tcPr>
          <w:p w14:paraId="0047A92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Pam </w:t>
            </w:r>
          </w:p>
        </w:tc>
        <w:tc>
          <w:tcPr>
            <w:tcW w:w="1637" w:type="dxa"/>
            <w:tcBorders>
              <w:top w:val="nil"/>
              <w:left w:val="nil"/>
              <w:bottom w:val="single" w:sz="4" w:space="0" w:color="auto"/>
              <w:right w:val="single" w:sz="4" w:space="0" w:color="auto"/>
            </w:tcBorders>
            <w:shd w:val="clear" w:color="auto" w:fill="auto"/>
            <w:noWrap/>
            <w:vAlign w:val="bottom"/>
            <w:hideMark/>
          </w:tcPr>
          <w:p w14:paraId="58315605"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Thyer</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77BDECA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F867F8B"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F9DA07C"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Musica</w:t>
            </w:r>
            <w:proofErr w:type="spellEnd"/>
            <w:r w:rsidRPr="00512BCC">
              <w:rPr>
                <w:rFonts w:ascii="Calibri" w:eastAsia="Times New Roman" w:hAnsi="Calibri" w:cs="Calibri"/>
                <w:color w:val="000000"/>
              </w:rPr>
              <w:t xml:space="preserve"> Viva Australia</w:t>
            </w:r>
          </w:p>
        </w:tc>
        <w:tc>
          <w:tcPr>
            <w:tcW w:w="1447" w:type="dxa"/>
            <w:tcBorders>
              <w:top w:val="nil"/>
              <w:left w:val="nil"/>
              <w:bottom w:val="single" w:sz="4" w:space="0" w:color="auto"/>
              <w:right w:val="single" w:sz="4" w:space="0" w:color="auto"/>
            </w:tcBorders>
            <w:shd w:val="clear" w:color="auto" w:fill="auto"/>
            <w:noWrap/>
            <w:vAlign w:val="bottom"/>
            <w:hideMark/>
          </w:tcPr>
          <w:p w14:paraId="6D22956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Mary Jo</w:t>
            </w:r>
          </w:p>
        </w:tc>
        <w:tc>
          <w:tcPr>
            <w:tcW w:w="1637" w:type="dxa"/>
            <w:tcBorders>
              <w:top w:val="nil"/>
              <w:left w:val="nil"/>
              <w:bottom w:val="single" w:sz="4" w:space="0" w:color="auto"/>
              <w:right w:val="single" w:sz="4" w:space="0" w:color="auto"/>
            </w:tcBorders>
            <w:shd w:val="clear" w:color="auto" w:fill="auto"/>
            <w:noWrap/>
            <w:vAlign w:val="bottom"/>
            <w:hideMark/>
          </w:tcPr>
          <w:p w14:paraId="62CA80E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Capps </w:t>
            </w:r>
          </w:p>
        </w:tc>
        <w:tc>
          <w:tcPr>
            <w:tcW w:w="1880" w:type="dxa"/>
            <w:tcBorders>
              <w:top w:val="nil"/>
              <w:left w:val="nil"/>
              <w:bottom w:val="single" w:sz="4" w:space="0" w:color="auto"/>
              <w:right w:val="single" w:sz="4" w:space="0" w:color="auto"/>
            </w:tcBorders>
            <w:shd w:val="clear" w:color="auto" w:fill="auto"/>
            <w:noWrap/>
            <w:vAlign w:val="bottom"/>
            <w:hideMark/>
          </w:tcPr>
          <w:p w14:paraId="0DBF50A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293451F5"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5D7E60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Non Profit Alliance</w:t>
            </w:r>
          </w:p>
        </w:tc>
        <w:tc>
          <w:tcPr>
            <w:tcW w:w="1447" w:type="dxa"/>
            <w:tcBorders>
              <w:top w:val="nil"/>
              <w:left w:val="nil"/>
              <w:bottom w:val="single" w:sz="4" w:space="0" w:color="auto"/>
              <w:right w:val="single" w:sz="4" w:space="0" w:color="auto"/>
            </w:tcBorders>
            <w:shd w:val="clear" w:color="auto" w:fill="auto"/>
            <w:noWrap/>
            <w:vAlign w:val="bottom"/>
            <w:hideMark/>
          </w:tcPr>
          <w:p w14:paraId="269FFE4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Kelly</w:t>
            </w:r>
          </w:p>
        </w:tc>
        <w:tc>
          <w:tcPr>
            <w:tcW w:w="1637" w:type="dxa"/>
            <w:tcBorders>
              <w:top w:val="nil"/>
              <w:left w:val="nil"/>
              <w:bottom w:val="single" w:sz="4" w:space="0" w:color="auto"/>
              <w:right w:val="single" w:sz="4" w:space="0" w:color="auto"/>
            </w:tcBorders>
            <w:shd w:val="clear" w:color="auto" w:fill="auto"/>
            <w:noWrap/>
            <w:vAlign w:val="bottom"/>
            <w:hideMark/>
          </w:tcPr>
          <w:p w14:paraId="62EB711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Beaumont</w:t>
            </w:r>
          </w:p>
        </w:tc>
        <w:tc>
          <w:tcPr>
            <w:tcW w:w="1880" w:type="dxa"/>
            <w:tcBorders>
              <w:top w:val="nil"/>
              <w:left w:val="nil"/>
              <w:bottom w:val="single" w:sz="4" w:space="0" w:color="auto"/>
              <w:right w:val="single" w:sz="4" w:space="0" w:color="auto"/>
            </w:tcBorders>
            <w:shd w:val="clear" w:color="auto" w:fill="auto"/>
            <w:noWrap/>
            <w:vAlign w:val="bottom"/>
            <w:hideMark/>
          </w:tcPr>
          <w:p w14:paraId="7D5E642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351F4AD"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738E32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Our Community</w:t>
            </w:r>
          </w:p>
        </w:tc>
        <w:tc>
          <w:tcPr>
            <w:tcW w:w="1447" w:type="dxa"/>
            <w:tcBorders>
              <w:top w:val="nil"/>
              <w:left w:val="nil"/>
              <w:bottom w:val="single" w:sz="4" w:space="0" w:color="auto"/>
              <w:right w:val="single" w:sz="4" w:space="0" w:color="auto"/>
            </w:tcBorders>
            <w:shd w:val="clear" w:color="auto" w:fill="auto"/>
            <w:noWrap/>
            <w:vAlign w:val="bottom"/>
            <w:hideMark/>
          </w:tcPr>
          <w:p w14:paraId="3C6FC72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Denis</w:t>
            </w:r>
          </w:p>
        </w:tc>
        <w:tc>
          <w:tcPr>
            <w:tcW w:w="1637" w:type="dxa"/>
            <w:tcBorders>
              <w:top w:val="nil"/>
              <w:left w:val="nil"/>
              <w:bottom w:val="single" w:sz="4" w:space="0" w:color="auto"/>
              <w:right w:val="single" w:sz="4" w:space="0" w:color="auto"/>
            </w:tcBorders>
            <w:shd w:val="clear" w:color="auto" w:fill="auto"/>
            <w:noWrap/>
            <w:vAlign w:val="bottom"/>
            <w:hideMark/>
          </w:tcPr>
          <w:p w14:paraId="2739126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Moriarty</w:t>
            </w:r>
          </w:p>
        </w:tc>
        <w:tc>
          <w:tcPr>
            <w:tcW w:w="1880" w:type="dxa"/>
            <w:tcBorders>
              <w:top w:val="nil"/>
              <w:left w:val="nil"/>
              <w:bottom w:val="single" w:sz="4" w:space="0" w:color="auto"/>
              <w:right w:val="single" w:sz="4" w:space="0" w:color="auto"/>
            </w:tcBorders>
            <w:shd w:val="clear" w:color="auto" w:fill="auto"/>
            <w:noWrap/>
            <w:vAlign w:val="bottom"/>
            <w:hideMark/>
          </w:tcPr>
          <w:p w14:paraId="538368A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Managing Director</w:t>
            </w:r>
          </w:p>
        </w:tc>
      </w:tr>
      <w:tr w:rsidR="00060937" w:rsidRPr="00512BCC" w14:paraId="26E2CE4E"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A248B4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Palliative Care Australia</w:t>
            </w:r>
          </w:p>
        </w:tc>
        <w:tc>
          <w:tcPr>
            <w:tcW w:w="1447" w:type="dxa"/>
            <w:tcBorders>
              <w:top w:val="nil"/>
              <w:left w:val="nil"/>
              <w:bottom w:val="single" w:sz="4" w:space="0" w:color="auto"/>
              <w:right w:val="single" w:sz="4" w:space="0" w:color="auto"/>
            </w:tcBorders>
            <w:shd w:val="clear" w:color="auto" w:fill="auto"/>
            <w:noWrap/>
            <w:vAlign w:val="bottom"/>
            <w:hideMark/>
          </w:tcPr>
          <w:p w14:paraId="57001B8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Liz</w:t>
            </w:r>
          </w:p>
        </w:tc>
        <w:tc>
          <w:tcPr>
            <w:tcW w:w="1637" w:type="dxa"/>
            <w:tcBorders>
              <w:top w:val="nil"/>
              <w:left w:val="nil"/>
              <w:bottom w:val="single" w:sz="4" w:space="0" w:color="auto"/>
              <w:right w:val="single" w:sz="4" w:space="0" w:color="auto"/>
            </w:tcBorders>
            <w:shd w:val="clear" w:color="auto" w:fill="auto"/>
            <w:noWrap/>
            <w:vAlign w:val="bottom"/>
            <w:hideMark/>
          </w:tcPr>
          <w:p w14:paraId="3A2BEF3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Callaghan</w:t>
            </w:r>
          </w:p>
        </w:tc>
        <w:tc>
          <w:tcPr>
            <w:tcW w:w="1880" w:type="dxa"/>
            <w:tcBorders>
              <w:top w:val="nil"/>
              <w:left w:val="nil"/>
              <w:bottom w:val="single" w:sz="4" w:space="0" w:color="auto"/>
              <w:right w:val="single" w:sz="4" w:space="0" w:color="auto"/>
            </w:tcBorders>
            <w:shd w:val="clear" w:color="auto" w:fill="auto"/>
            <w:noWrap/>
            <w:vAlign w:val="bottom"/>
            <w:hideMark/>
          </w:tcPr>
          <w:p w14:paraId="4285ED0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4A052B03"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61158F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Philanthropy Australia</w:t>
            </w:r>
          </w:p>
        </w:tc>
        <w:tc>
          <w:tcPr>
            <w:tcW w:w="1447" w:type="dxa"/>
            <w:tcBorders>
              <w:top w:val="nil"/>
              <w:left w:val="nil"/>
              <w:bottom w:val="single" w:sz="4" w:space="0" w:color="auto"/>
              <w:right w:val="single" w:sz="4" w:space="0" w:color="auto"/>
            </w:tcBorders>
            <w:shd w:val="clear" w:color="auto" w:fill="auto"/>
            <w:noWrap/>
            <w:vAlign w:val="bottom"/>
            <w:hideMark/>
          </w:tcPr>
          <w:p w14:paraId="428F7C6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Sarah</w:t>
            </w:r>
          </w:p>
        </w:tc>
        <w:tc>
          <w:tcPr>
            <w:tcW w:w="1637" w:type="dxa"/>
            <w:tcBorders>
              <w:top w:val="nil"/>
              <w:left w:val="nil"/>
              <w:bottom w:val="single" w:sz="4" w:space="0" w:color="auto"/>
              <w:right w:val="single" w:sz="4" w:space="0" w:color="auto"/>
            </w:tcBorders>
            <w:shd w:val="clear" w:color="auto" w:fill="auto"/>
            <w:noWrap/>
            <w:vAlign w:val="bottom"/>
            <w:hideMark/>
          </w:tcPr>
          <w:p w14:paraId="15A593B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Davies</w:t>
            </w:r>
          </w:p>
        </w:tc>
        <w:tc>
          <w:tcPr>
            <w:tcW w:w="1880" w:type="dxa"/>
            <w:tcBorders>
              <w:top w:val="nil"/>
              <w:left w:val="nil"/>
              <w:bottom w:val="single" w:sz="4" w:space="0" w:color="auto"/>
              <w:right w:val="single" w:sz="4" w:space="0" w:color="auto"/>
            </w:tcBorders>
            <w:shd w:val="clear" w:color="auto" w:fill="auto"/>
            <w:noWrap/>
            <w:vAlign w:val="bottom"/>
            <w:hideMark/>
          </w:tcPr>
          <w:p w14:paraId="0C20310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2BF75503"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34FF3A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Playgroup Qld</w:t>
            </w:r>
          </w:p>
        </w:tc>
        <w:tc>
          <w:tcPr>
            <w:tcW w:w="1447" w:type="dxa"/>
            <w:tcBorders>
              <w:top w:val="nil"/>
              <w:left w:val="nil"/>
              <w:bottom w:val="single" w:sz="4" w:space="0" w:color="auto"/>
              <w:right w:val="single" w:sz="4" w:space="0" w:color="auto"/>
            </w:tcBorders>
            <w:shd w:val="clear" w:color="auto" w:fill="auto"/>
            <w:noWrap/>
            <w:vAlign w:val="bottom"/>
            <w:hideMark/>
          </w:tcPr>
          <w:p w14:paraId="6D42EDC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Ian</w:t>
            </w:r>
          </w:p>
        </w:tc>
        <w:tc>
          <w:tcPr>
            <w:tcW w:w="1637" w:type="dxa"/>
            <w:tcBorders>
              <w:top w:val="nil"/>
              <w:left w:val="nil"/>
              <w:bottom w:val="single" w:sz="4" w:space="0" w:color="auto"/>
              <w:right w:val="single" w:sz="4" w:space="0" w:color="auto"/>
            </w:tcBorders>
            <w:shd w:val="clear" w:color="auto" w:fill="auto"/>
            <w:noWrap/>
            <w:vAlign w:val="bottom"/>
            <w:hideMark/>
          </w:tcPr>
          <w:p w14:paraId="3BAA1B7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Coombe</w:t>
            </w:r>
          </w:p>
        </w:tc>
        <w:tc>
          <w:tcPr>
            <w:tcW w:w="1880" w:type="dxa"/>
            <w:tcBorders>
              <w:top w:val="nil"/>
              <w:left w:val="nil"/>
              <w:bottom w:val="single" w:sz="4" w:space="0" w:color="auto"/>
              <w:right w:val="single" w:sz="4" w:space="0" w:color="auto"/>
            </w:tcBorders>
            <w:shd w:val="clear" w:color="auto" w:fill="auto"/>
            <w:noWrap/>
            <w:vAlign w:val="bottom"/>
            <w:hideMark/>
          </w:tcPr>
          <w:p w14:paraId="07ED0C2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0165FCBB" w14:textId="77777777" w:rsidTr="00D02360">
        <w:trPr>
          <w:trHeight w:val="288"/>
        </w:trPr>
        <w:tc>
          <w:tcPr>
            <w:tcW w:w="4780" w:type="dxa"/>
            <w:tcBorders>
              <w:top w:val="nil"/>
              <w:left w:val="single" w:sz="4" w:space="0" w:color="auto"/>
              <w:bottom w:val="single" w:sz="4" w:space="0" w:color="auto"/>
              <w:right w:val="single" w:sz="4" w:space="0" w:color="auto"/>
            </w:tcBorders>
            <w:shd w:val="clear" w:color="000000" w:fill="FFFFFF"/>
            <w:noWrap/>
            <w:vAlign w:val="bottom"/>
            <w:hideMark/>
          </w:tcPr>
          <w:p w14:paraId="4A8513B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Port Phillip Housing Association</w:t>
            </w:r>
          </w:p>
        </w:tc>
        <w:tc>
          <w:tcPr>
            <w:tcW w:w="1447" w:type="dxa"/>
            <w:tcBorders>
              <w:top w:val="nil"/>
              <w:left w:val="nil"/>
              <w:bottom w:val="single" w:sz="4" w:space="0" w:color="auto"/>
              <w:right w:val="single" w:sz="4" w:space="0" w:color="auto"/>
            </w:tcBorders>
            <w:shd w:val="clear" w:color="000000" w:fill="FFFFFF"/>
            <w:noWrap/>
            <w:vAlign w:val="bottom"/>
            <w:hideMark/>
          </w:tcPr>
          <w:p w14:paraId="6E51C265"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Haleh</w:t>
            </w:r>
            <w:proofErr w:type="spellEnd"/>
          </w:p>
        </w:tc>
        <w:tc>
          <w:tcPr>
            <w:tcW w:w="1637" w:type="dxa"/>
            <w:tcBorders>
              <w:top w:val="nil"/>
              <w:left w:val="nil"/>
              <w:bottom w:val="single" w:sz="4" w:space="0" w:color="auto"/>
              <w:right w:val="single" w:sz="4" w:space="0" w:color="auto"/>
            </w:tcBorders>
            <w:shd w:val="clear" w:color="000000" w:fill="FFFFFF"/>
            <w:noWrap/>
            <w:vAlign w:val="bottom"/>
            <w:hideMark/>
          </w:tcPr>
          <w:p w14:paraId="519B8D02"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Homaei</w:t>
            </w:r>
            <w:proofErr w:type="spellEnd"/>
          </w:p>
        </w:tc>
        <w:tc>
          <w:tcPr>
            <w:tcW w:w="1880" w:type="dxa"/>
            <w:tcBorders>
              <w:top w:val="nil"/>
              <w:left w:val="nil"/>
              <w:bottom w:val="single" w:sz="4" w:space="0" w:color="auto"/>
              <w:right w:val="single" w:sz="4" w:space="0" w:color="auto"/>
            </w:tcBorders>
            <w:shd w:val="clear" w:color="000000" w:fill="FFFFFF"/>
            <w:noWrap/>
            <w:vAlign w:val="bottom"/>
            <w:hideMark/>
          </w:tcPr>
          <w:p w14:paraId="577D6A5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6ACD8CEB"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09D32F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Power Housing Australia</w:t>
            </w:r>
          </w:p>
        </w:tc>
        <w:tc>
          <w:tcPr>
            <w:tcW w:w="1447" w:type="dxa"/>
            <w:tcBorders>
              <w:top w:val="nil"/>
              <w:left w:val="nil"/>
              <w:bottom w:val="single" w:sz="4" w:space="0" w:color="auto"/>
              <w:right w:val="single" w:sz="4" w:space="0" w:color="auto"/>
            </w:tcBorders>
            <w:shd w:val="clear" w:color="auto" w:fill="auto"/>
            <w:noWrap/>
            <w:vAlign w:val="bottom"/>
            <w:hideMark/>
          </w:tcPr>
          <w:p w14:paraId="69B97EA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Nicholas</w:t>
            </w:r>
          </w:p>
        </w:tc>
        <w:tc>
          <w:tcPr>
            <w:tcW w:w="1637" w:type="dxa"/>
            <w:tcBorders>
              <w:top w:val="nil"/>
              <w:left w:val="nil"/>
              <w:bottom w:val="single" w:sz="4" w:space="0" w:color="auto"/>
              <w:right w:val="single" w:sz="4" w:space="0" w:color="auto"/>
            </w:tcBorders>
            <w:shd w:val="clear" w:color="auto" w:fill="auto"/>
            <w:noWrap/>
            <w:vAlign w:val="bottom"/>
            <w:hideMark/>
          </w:tcPr>
          <w:p w14:paraId="0C3BDBA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Proud</w:t>
            </w:r>
          </w:p>
        </w:tc>
        <w:tc>
          <w:tcPr>
            <w:tcW w:w="1880" w:type="dxa"/>
            <w:tcBorders>
              <w:top w:val="nil"/>
              <w:left w:val="nil"/>
              <w:bottom w:val="single" w:sz="4" w:space="0" w:color="auto"/>
              <w:right w:val="single" w:sz="4" w:space="0" w:color="auto"/>
            </w:tcBorders>
            <w:shd w:val="clear" w:color="auto" w:fill="auto"/>
            <w:noWrap/>
            <w:vAlign w:val="bottom"/>
            <w:hideMark/>
          </w:tcPr>
          <w:p w14:paraId="6F6758F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F186C2B"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AA3F766"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Probono</w:t>
            </w:r>
            <w:proofErr w:type="spellEnd"/>
            <w:r w:rsidRPr="00512BCC">
              <w:rPr>
                <w:rFonts w:ascii="Calibri" w:eastAsia="Times New Roman" w:hAnsi="Calibri" w:cs="Calibri"/>
                <w:color w:val="000000"/>
              </w:rPr>
              <w:t xml:space="preserve"> Australia</w:t>
            </w:r>
          </w:p>
        </w:tc>
        <w:tc>
          <w:tcPr>
            <w:tcW w:w="1447" w:type="dxa"/>
            <w:tcBorders>
              <w:top w:val="nil"/>
              <w:left w:val="nil"/>
              <w:bottom w:val="single" w:sz="4" w:space="0" w:color="auto"/>
              <w:right w:val="single" w:sz="4" w:space="0" w:color="auto"/>
            </w:tcBorders>
            <w:shd w:val="clear" w:color="auto" w:fill="auto"/>
            <w:noWrap/>
            <w:vAlign w:val="bottom"/>
            <w:hideMark/>
          </w:tcPr>
          <w:p w14:paraId="2F56F0C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Karen </w:t>
            </w:r>
          </w:p>
        </w:tc>
        <w:tc>
          <w:tcPr>
            <w:tcW w:w="1637" w:type="dxa"/>
            <w:tcBorders>
              <w:top w:val="nil"/>
              <w:left w:val="nil"/>
              <w:bottom w:val="single" w:sz="4" w:space="0" w:color="auto"/>
              <w:right w:val="single" w:sz="4" w:space="0" w:color="auto"/>
            </w:tcBorders>
            <w:shd w:val="clear" w:color="auto" w:fill="auto"/>
            <w:noWrap/>
            <w:vAlign w:val="bottom"/>
            <w:hideMark/>
          </w:tcPr>
          <w:p w14:paraId="355FCB4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Mahlab</w:t>
            </w:r>
          </w:p>
        </w:tc>
        <w:tc>
          <w:tcPr>
            <w:tcW w:w="1880" w:type="dxa"/>
            <w:tcBorders>
              <w:top w:val="nil"/>
              <w:left w:val="nil"/>
              <w:bottom w:val="single" w:sz="4" w:space="0" w:color="auto"/>
              <w:right w:val="single" w:sz="4" w:space="0" w:color="auto"/>
            </w:tcBorders>
            <w:shd w:val="clear" w:color="auto" w:fill="auto"/>
            <w:noWrap/>
            <w:vAlign w:val="bottom"/>
            <w:hideMark/>
          </w:tcPr>
          <w:p w14:paraId="3706131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5D410EB3"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6FA9AA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Queensland Water &amp; Land Carers</w:t>
            </w:r>
          </w:p>
        </w:tc>
        <w:tc>
          <w:tcPr>
            <w:tcW w:w="1447" w:type="dxa"/>
            <w:tcBorders>
              <w:top w:val="nil"/>
              <w:left w:val="nil"/>
              <w:bottom w:val="single" w:sz="4" w:space="0" w:color="auto"/>
              <w:right w:val="single" w:sz="4" w:space="0" w:color="auto"/>
            </w:tcBorders>
            <w:shd w:val="clear" w:color="auto" w:fill="auto"/>
            <w:noWrap/>
            <w:vAlign w:val="bottom"/>
            <w:hideMark/>
          </w:tcPr>
          <w:p w14:paraId="370B6A8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Darryl</w:t>
            </w:r>
          </w:p>
        </w:tc>
        <w:tc>
          <w:tcPr>
            <w:tcW w:w="1637" w:type="dxa"/>
            <w:tcBorders>
              <w:top w:val="nil"/>
              <w:left w:val="nil"/>
              <w:bottom w:val="single" w:sz="4" w:space="0" w:color="auto"/>
              <w:right w:val="single" w:sz="4" w:space="0" w:color="auto"/>
            </w:tcBorders>
            <w:shd w:val="clear" w:color="auto" w:fill="auto"/>
            <w:noWrap/>
            <w:vAlign w:val="bottom"/>
            <w:hideMark/>
          </w:tcPr>
          <w:p w14:paraId="4C01CA6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Ebenezer</w:t>
            </w:r>
          </w:p>
        </w:tc>
        <w:tc>
          <w:tcPr>
            <w:tcW w:w="1880" w:type="dxa"/>
            <w:tcBorders>
              <w:top w:val="nil"/>
              <w:left w:val="nil"/>
              <w:bottom w:val="single" w:sz="4" w:space="0" w:color="auto"/>
              <w:right w:val="single" w:sz="4" w:space="0" w:color="auto"/>
            </w:tcBorders>
            <w:shd w:val="clear" w:color="auto" w:fill="auto"/>
            <w:noWrap/>
            <w:vAlign w:val="bottom"/>
            <w:hideMark/>
          </w:tcPr>
          <w:p w14:paraId="7BBEAEB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5B9BE8CB"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3DDC4A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Reach Foundation</w:t>
            </w:r>
          </w:p>
        </w:tc>
        <w:tc>
          <w:tcPr>
            <w:tcW w:w="1447" w:type="dxa"/>
            <w:tcBorders>
              <w:top w:val="nil"/>
              <w:left w:val="nil"/>
              <w:bottom w:val="single" w:sz="4" w:space="0" w:color="auto"/>
              <w:right w:val="single" w:sz="4" w:space="0" w:color="auto"/>
            </w:tcBorders>
            <w:shd w:val="clear" w:color="auto" w:fill="auto"/>
            <w:noWrap/>
            <w:vAlign w:val="bottom"/>
            <w:hideMark/>
          </w:tcPr>
          <w:p w14:paraId="0DCE8D3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Chris </w:t>
            </w:r>
          </w:p>
        </w:tc>
        <w:tc>
          <w:tcPr>
            <w:tcW w:w="1637" w:type="dxa"/>
            <w:tcBorders>
              <w:top w:val="nil"/>
              <w:left w:val="nil"/>
              <w:bottom w:val="single" w:sz="4" w:space="0" w:color="auto"/>
              <w:right w:val="single" w:sz="4" w:space="0" w:color="auto"/>
            </w:tcBorders>
            <w:shd w:val="clear" w:color="auto" w:fill="auto"/>
            <w:noWrap/>
            <w:vAlign w:val="bottom"/>
            <w:hideMark/>
          </w:tcPr>
          <w:p w14:paraId="480C608E"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Naish</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1DE0FEC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2DBF767C"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73EAA4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RSPCA Australia</w:t>
            </w:r>
          </w:p>
        </w:tc>
        <w:tc>
          <w:tcPr>
            <w:tcW w:w="1447" w:type="dxa"/>
            <w:tcBorders>
              <w:top w:val="nil"/>
              <w:left w:val="nil"/>
              <w:bottom w:val="single" w:sz="4" w:space="0" w:color="auto"/>
              <w:right w:val="single" w:sz="4" w:space="0" w:color="auto"/>
            </w:tcBorders>
            <w:shd w:val="clear" w:color="auto" w:fill="auto"/>
            <w:noWrap/>
            <w:vAlign w:val="bottom"/>
            <w:hideMark/>
          </w:tcPr>
          <w:p w14:paraId="0A1773A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Heather </w:t>
            </w:r>
          </w:p>
        </w:tc>
        <w:tc>
          <w:tcPr>
            <w:tcW w:w="1637" w:type="dxa"/>
            <w:tcBorders>
              <w:top w:val="nil"/>
              <w:left w:val="nil"/>
              <w:bottom w:val="single" w:sz="4" w:space="0" w:color="auto"/>
              <w:right w:val="single" w:sz="4" w:space="0" w:color="auto"/>
            </w:tcBorders>
            <w:shd w:val="clear" w:color="auto" w:fill="auto"/>
            <w:noWrap/>
            <w:vAlign w:val="bottom"/>
            <w:hideMark/>
          </w:tcPr>
          <w:p w14:paraId="40BBE1C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Neil </w:t>
            </w:r>
          </w:p>
        </w:tc>
        <w:tc>
          <w:tcPr>
            <w:tcW w:w="1880" w:type="dxa"/>
            <w:tcBorders>
              <w:top w:val="nil"/>
              <w:left w:val="nil"/>
              <w:bottom w:val="single" w:sz="4" w:space="0" w:color="auto"/>
              <w:right w:val="single" w:sz="4" w:space="0" w:color="auto"/>
            </w:tcBorders>
            <w:shd w:val="clear" w:color="auto" w:fill="auto"/>
            <w:noWrap/>
            <w:vAlign w:val="bottom"/>
            <w:hideMark/>
          </w:tcPr>
          <w:p w14:paraId="02D12D3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220D5EFE"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5314A0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SANE</w:t>
            </w:r>
          </w:p>
        </w:tc>
        <w:tc>
          <w:tcPr>
            <w:tcW w:w="1447" w:type="dxa"/>
            <w:tcBorders>
              <w:top w:val="nil"/>
              <w:left w:val="nil"/>
              <w:bottom w:val="single" w:sz="4" w:space="0" w:color="auto"/>
              <w:right w:val="single" w:sz="4" w:space="0" w:color="auto"/>
            </w:tcBorders>
            <w:shd w:val="clear" w:color="auto" w:fill="auto"/>
            <w:noWrap/>
            <w:vAlign w:val="bottom"/>
            <w:hideMark/>
          </w:tcPr>
          <w:p w14:paraId="6EF24E0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Jack</w:t>
            </w:r>
          </w:p>
        </w:tc>
        <w:tc>
          <w:tcPr>
            <w:tcW w:w="1637" w:type="dxa"/>
            <w:tcBorders>
              <w:top w:val="nil"/>
              <w:left w:val="nil"/>
              <w:bottom w:val="single" w:sz="4" w:space="0" w:color="auto"/>
              <w:right w:val="single" w:sz="4" w:space="0" w:color="auto"/>
            </w:tcBorders>
            <w:shd w:val="clear" w:color="auto" w:fill="auto"/>
            <w:noWrap/>
            <w:vAlign w:val="bottom"/>
            <w:hideMark/>
          </w:tcPr>
          <w:p w14:paraId="60A9428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Heath</w:t>
            </w:r>
          </w:p>
        </w:tc>
        <w:tc>
          <w:tcPr>
            <w:tcW w:w="1880" w:type="dxa"/>
            <w:tcBorders>
              <w:top w:val="nil"/>
              <w:left w:val="nil"/>
              <w:bottom w:val="single" w:sz="4" w:space="0" w:color="auto"/>
              <w:right w:val="single" w:sz="4" w:space="0" w:color="auto"/>
            </w:tcBorders>
            <w:shd w:val="clear" w:color="auto" w:fill="auto"/>
            <w:noWrap/>
            <w:vAlign w:val="bottom"/>
            <w:hideMark/>
          </w:tcPr>
          <w:p w14:paraId="586B28E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AC961D7"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760202C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SARRAH</w:t>
            </w:r>
          </w:p>
        </w:tc>
        <w:tc>
          <w:tcPr>
            <w:tcW w:w="1447" w:type="dxa"/>
            <w:tcBorders>
              <w:top w:val="nil"/>
              <w:left w:val="nil"/>
              <w:bottom w:val="single" w:sz="4" w:space="0" w:color="auto"/>
              <w:right w:val="single" w:sz="4" w:space="0" w:color="auto"/>
            </w:tcBorders>
            <w:shd w:val="clear" w:color="auto" w:fill="auto"/>
            <w:noWrap/>
            <w:vAlign w:val="bottom"/>
            <w:hideMark/>
          </w:tcPr>
          <w:p w14:paraId="4631513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Rod</w:t>
            </w:r>
          </w:p>
        </w:tc>
        <w:tc>
          <w:tcPr>
            <w:tcW w:w="1637" w:type="dxa"/>
            <w:tcBorders>
              <w:top w:val="nil"/>
              <w:left w:val="nil"/>
              <w:bottom w:val="single" w:sz="4" w:space="0" w:color="auto"/>
              <w:right w:val="single" w:sz="4" w:space="0" w:color="auto"/>
            </w:tcBorders>
            <w:shd w:val="clear" w:color="auto" w:fill="auto"/>
            <w:noWrap/>
            <w:vAlign w:val="bottom"/>
            <w:hideMark/>
          </w:tcPr>
          <w:p w14:paraId="6D05FC1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Wellington</w:t>
            </w:r>
          </w:p>
        </w:tc>
        <w:tc>
          <w:tcPr>
            <w:tcW w:w="1880" w:type="dxa"/>
            <w:tcBorders>
              <w:top w:val="nil"/>
              <w:left w:val="nil"/>
              <w:bottom w:val="single" w:sz="4" w:space="0" w:color="auto"/>
              <w:right w:val="single" w:sz="4" w:space="0" w:color="auto"/>
            </w:tcBorders>
            <w:shd w:val="clear" w:color="auto" w:fill="auto"/>
            <w:noWrap/>
            <w:vAlign w:val="bottom"/>
            <w:hideMark/>
          </w:tcPr>
          <w:p w14:paraId="19A5701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6B41646E"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ABB664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Save the Children</w:t>
            </w:r>
          </w:p>
        </w:tc>
        <w:tc>
          <w:tcPr>
            <w:tcW w:w="1447" w:type="dxa"/>
            <w:tcBorders>
              <w:top w:val="nil"/>
              <w:left w:val="nil"/>
              <w:bottom w:val="single" w:sz="4" w:space="0" w:color="auto"/>
              <w:right w:val="single" w:sz="4" w:space="0" w:color="auto"/>
            </w:tcBorders>
            <w:shd w:val="clear" w:color="auto" w:fill="auto"/>
            <w:noWrap/>
            <w:vAlign w:val="bottom"/>
            <w:hideMark/>
          </w:tcPr>
          <w:p w14:paraId="224E638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Paul </w:t>
            </w:r>
          </w:p>
        </w:tc>
        <w:tc>
          <w:tcPr>
            <w:tcW w:w="1637" w:type="dxa"/>
            <w:tcBorders>
              <w:top w:val="nil"/>
              <w:left w:val="nil"/>
              <w:bottom w:val="single" w:sz="4" w:space="0" w:color="auto"/>
              <w:right w:val="single" w:sz="4" w:space="0" w:color="auto"/>
            </w:tcBorders>
            <w:shd w:val="clear" w:color="auto" w:fill="auto"/>
            <w:noWrap/>
            <w:vAlign w:val="bottom"/>
            <w:hideMark/>
          </w:tcPr>
          <w:p w14:paraId="344C969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Ronalds </w:t>
            </w:r>
          </w:p>
        </w:tc>
        <w:tc>
          <w:tcPr>
            <w:tcW w:w="1880" w:type="dxa"/>
            <w:tcBorders>
              <w:top w:val="nil"/>
              <w:left w:val="nil"/>
              <w:bottom w:val="single" w:sz="4" w:space="0" w:color="auto"/>
              <w:right w:val="single" w:sz="4" w:space="0" w:color="auto"/>
            </w:tcBorders>
            <w:shd w:val="clear" w:color="auto" w:fill="auto"/>
            <w:noWrap/>
            <w:vAlign w:val="bottom"/>
            <w:hideMark/>
          </w:tcPr>
          <w:p w14:paraId="793B192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326AD43C"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6B6B9A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Scope</w:t>
            </w:r>
          </w:p>
        </w:tc>
        <w:tc>
          <w:tcPr>
            <w:tcW w:w="1447" w:type="dxa"/>
            <w:tcBorders>
              <w:top w:val="nil"/>
              <w:left w:val="nil"/>
              <w:bottom w:val="single" w:sz="4" w:space="0" w:color="auto"/>
              <w:right w:val="single" w:sz="4" w:space="0" w:color="auto"/>
            </w:tcBorders>
            <w:shd w:val="clear" w:color="auto" w:fill="auto"/>
            <w:noWrap/>
            <w:vAlign w:val="bottom"/>
            <w:hideMark/>
          </w:tcPr>
          <w:p w14:paraId="6AFE53C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Jennifer </w:t>
            </w:r>
          </w:p>
        </w:tc>
        <w:tc>
          <w:tcPr>
            <w:tcW w:w="1637" w:type="dxa"/>
            <w:tcBorders>
              <w:top w:val="nil"/>
              <w:left w:val="nil"/>
              <w:bottom w:val="single" w:sz="4" w:space="0" w:color="auto"/>
              <w:right w:val="single" w:sz="4" w:space="0" w:color="auto"/>
            </w:tcBorders>
            <w:shd w:val="clear" w:color="auto" w:fill="auto"/>
            <w:noWrap/>
            <w:vAlign w:val="bottom"/>
            <w:hideMark/>
          </w:tcPr>
          <w:p w14:paraId="39E1C88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Fitzgerald</w:t>
            </w:r>
          </w:p>
        </w:tc>
        <w:tc>
          <w:tcPr>
            <w:tcW w:w="1880" w:type="dxa"/>
            <w:tcBorders>
              <w:top w:val="nil"/>
              <w:left w:val="nil"/>
              <w:bottom w:val="single" w:sz="4" w:space="0" w:color="auto"/>
              <w:right w:val="single" w:sz="4" w:space="0" w:color="auto"/>
            </w:tcBorders>
            <w:shd w:val="clear" w:color="auto" w:fill="auto"/>
            <w:noWrap/>
            <w:vAlign w:val="bottom"/>
            <w:hideMark/>
          </w:tcPr>
          <w:p w14:paraId="25D689A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353BB0D1"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75CC71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Settlement Services International</w:t>
            </w:r>
          </w:p>
        </w:tc>
        <w:tc>
          <w:tcPr>
            <w:tcW w:w="1447" w:type="dxa"/>
            <w:tcBorders>
              <w:top w:val="nil"/>
              <w:left w:val="nil"/>
              <w:bottom w:val="single" w:sz="4" w:space="0" w:color="auto"/>
              <w:right w:val="single" w:sz="4" w:space="0" w:color="auto"/>
            </w:tcBorders>
            <w:shd w:val="clear" w:color="auto" w:fill="auto"/>
            <w:noWrap/>
            <w:vAlign w:val="bottom"/>
            <w:hideMark/>
          </w:tcPr>
          <w:p w14:paraId="4D4F315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Violet</w:t>
            </w:r>
          </w:p>
        </w:tc>
        <w:tc>
          <w:tcPr>
            <w:tcW w:w="1637" w:type="dxa"/>
            <w:tcBorders>
              <w:top w:val="nil"/>
              <w:left w:val="nil"/>
              <w:bottom w:val="single" w:sz="4" w:space="0" w:color="auto"/>
              <w:right w:val="single" w:sz="4" w:space="0" w:color="auto"/>
            </w:tcBorders>
            <w:shd w:val="clear" w:color="auto" w:fill="auto"/>
            <w:noWrap/>
            <w:vAlign w:val="bottom"/>
            <w:hideMark/>
          </w:tcPr>
          <w:p w14:paraId="722400C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Roumeliotis</w:t>
            </w:r>
          </w:p>
        </w:tc>
        <w:tc>
          <w:tcPr>
            <w:tcW w:w="1880" w:type="dxa"/>
            <w:tcBorders>
              <w:top w:val="nil"/>
              <w:left w:val="nil"/>
              <w:bottom w:val="single" w:sz="4" w:space="0" w:color="auto"/>
              <w:right w:val="single" w:sz="4" w:space="0" w:color="auto"/>
            </w:tcBorders>
            <w:shd w:val="clear" w:color="auto" w:fill="auto"/>
            <w:noWrap/>
            <w:vAlign w:val="bottom"/>
            <w:hideMark/>
          </w:tcPr>
          <w:p w14:paraId="6A40063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4DAB06E4"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DFB224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Smith Family</w:t>
            </w:r>
          </w:p>
        </w:tc>
        <w:tc>
          <w:tcPr>
            <w:tcW w:w="1447" w:type="dxa"/>
            <w:tcBorders>
              <w:top w:val="nil"/>
              <w:left w:val="nil"/>
              <w:bottom w:val="single" w:sz="4" w:space="0" w:color="auto"/>
              <w:right w:val="single" w:sz="4" w:space="0" w:color="auto"/>
            </w:tcBorders>
            <w:shd w:val="clear" w:color="auto" w:fill="auto"/>
            <w:noWrap/>
            <w:vAlign w:val="bottom"/>
            <w:hideMark/>
          </w:tcPr>
          <w:p w14:paraId="365F14A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Lisa</w:t>
            </w:r>
          </w:p>
        </w:tc>
        <w:tc>
          <w:tcPr>
            <w:tcW w:w="1637" w:type="dxa"/>
            <w:tcBorders>
              <w:top w:val="nil"/>
              <w:left w:val="nil"/>
              <w:bottom w:val="single" w:sz="4" w:space="0" w:color="auto"/>
              <w:right w:val="single" w:sz="4" w:space="0" w:color="auto"/>
            </w:tcBorders>
            <w:shd w:val="clear" w:color="auto" w:fill="auto"/>
            <w:noWrap/>
            <w:vAlign w:val="bottom"/>
            <w:hideMark/>
          </w:tcPr>
          <w:p w14:paraId="78A70A4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O'Brien</w:t>
            </w:r>
          </w:p>
        </w:tc>
        <w:tc>
          <w:tcPr>
            <w:tcW w:w="1880" w:type="dxa"/>
            <w:tcBorders>
              <w:top w:val="nil"/>
              <w:left w:val="nil"/>
              <w:bottom w:val="single" w:sz="4" w:space="0" w:color="auto"/>
              <w:right w:val="single" w:sz="4" w:space="0" w:color="auto"/>
            </w:tcBorders>
            <w:shd w:val="clear" w:color="auto" w:fill="auto"/>
            <w:noWrap/>
            <w:vAlign w:val="bottom"/>
            <w:hideMark/>
          </w:tcPr>
          <w:p w14:paraId="3B412812"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ABC03A5"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3534363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Social Ventures Australia</w:t>
            </w:r>
          </w:p>
        </w:tc>
        <w:tc>
          <w:tcPr>
            <w:tcW w:w="1447" w:type="dxa"/>
            <w:tcBorders>
              <w:top w:val="nil"/>
              <w:left w:val="nil"/>
              <w:bottom w:val="single" w:sz="4" w:space="0" w:color="auto"/>
              <w:right w:val="single" w:sz="4" w:space="0" w:color="auto"/>
            </w:tcBorders>
            <w:shd w:val="clear" w:color="auto" w:fill="auto"/>
            <w:noWrap/>
            <w:vAlign w:val="bottom"/>
            <w:hideMark/>
          </w:tcPr>
          <w:p w14:paraId="2F0FB5B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Rob</w:t>
            </w:r>
          </w:p>
        </w:tc>
        <w:tc>
          <w:tcPr>
            <w:tcW w:w="1637" w:type="dxa"/>
            <w:tcBorders>
              <w:top w:val="nil"/>
              <w:left w:val="nil"/>
              <w:bottom w:val="single" w:sz="4" w:space="0" w:color="auto"/>
              <w:right w:val="single" w:sz="4" w:space="0" w:color="auto"/>
            </w:tcBorders>
            <w:shd w:val="clear" w:color="auto" w:fill="auto"/>
            <w:noWrap/>
            <w:vAlign w:val="bottom"/>
            <w:hideMark/>
          </w:tcPr>
          <w:p w14:paraId="08BB0500"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Koczkar</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09BB8A7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FF074B7"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9E4B9E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St John Ambulance</w:t>
            </w:r>
          </w:p>
        </w:tc>
        <w:tc>
          <w:tcPr>
            <w:tcW w:w="1447" w:type="dxa"/>
            <w:tcBorders>
              <w:top w:val="nil"/>
              <w:left w:val="nil"/>
              <w:bottom w:val="single" w:sz="4" w:space="0" w:color="auto"/>
              <w:right w:val="single" w:sz="4" w:space="0" w:color="auto"/>
            </w:tcBorders>
            <w:shd w:val="clear" w:color="auto" w:fill="auto"/>
            <w:noWrap/>
            <w:vAlign w:val="bottom"/>
            <w:hideMark/>
          </w:tcPr>
          <w:p w14:paraId="76BD324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Robert</w:t>
            </w:r>
          </w:p>
        </w:tc>
        <w:tc>
          <w:tcPr>
            <w:tcW w:w="1637" w:type="dxa"/>
            <w:tcBorders>
              <w:top w:val="nil"/>
              <w:left w:val="nil"/>
              <w:bottom w:val="single" w:sz="4" w:space="0" w:color="auto"/>
              <w:right w:val="single" w:sz="4" w:space="0" w:color="auto"/>
            </w:tcBorders>
            <w:shd w:val="clear" w:color="auto" w:fill="auto"/>
            <w:noWrap/>
            <w:vAlign w:val="bottom"/>
            <w:hideMark/>
          </w:tcPr>
          <w:p w14:paraId="533EB9B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Hunt</w:t>
            </w:r>
          </w:p>
        </w:tc>
        <w:tc>
          <w:tcPr>
            <w:tcW w:w="1880" w:type="dxa"/>
            <w:tcBorders>
              <w:top w:val="nil"/>
              <w:left w:val="nil"/>
              <w:bottom w:val="single" w:sz="4" w:space="0" w:color="auto"/>
              <w:right w:val="single" w:sz="4" w:space="0" w:color="auto"/>
            </w:tcBorders>
            <w:shd w:val="clear" w:color="auto" w:fill="auto"/>
            <w:noWrap/>
            <w:vAlign w:val="bottom"/>
            <w:hideMark/>
          </w:tcPr>
          <w:p w14:paraId="2866845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3DD065D"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6BA92A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Starlight Foundation</w:t>
            </w:r>
          </w:p>
        </w:tc>
        <w:tc>
          <w:tcPr>
            <w:tcW w:w="1447" w:type="dxa"/>
            <w:tcBorders>
              <w:top w:val="nil"/>
              <w:left w:val="nil"/>
              <w:bottom w:val="single" w:sz="4" w:space="0" w:color="auto"/>
              <w:right w:val="single" w:sz="4" w:space="0" w:color="auto"/>
            </w:tcBorders>
            <w:shd w:val="clear" w:color="auto" w:fill="auto"/>
            <w:noWrap/>
            <w:vAlign w:val="bottom"/>
            <w:hideMark/>
          </w:tcPr>
          <w:p w14:paraId="7E9817F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Louise </w:t>
            </w:r>
          </w:p>
        </w:tc>
        <w:tc>
          <w:tcPr>
            <w:tcW w:w="1637" w:type="dxa"/>
            <w:tcBorders>
              <w:top w:val="nil"/>
              <w:left w:val="nil"/>
              <w:bottom w:val="single" w:sz="4" w:space="0" w:color="auto"/>
              <w:right w:val="single" w:sz="4" w:space="0" w:color="auto"/>
            </w:tcBorders>
            <w:shd w:val="clear" w:color="auto" w:fill="auto"/>
            <w:noWrap/>
            <w:vAlign w:val="bottom"/>
            <w:hideMark/>
          </w:tcPr>
          <w:p w14:paraId="2BDBFA4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Baxter</w:t>
            </w:r>
          </w:p>
        </w:tc>
        <w:tc>
          <w:tcPr>
            <w:tcW w:w="1880" w:type="dxa"/>
            <w:tcBorders>
              <w:top w:val="nil"/>
              <w:left w:val="nil"/>
              <w:bottom w:val="single" w:sz="4" w:space="0" w:color="auto"/>
              <w:right w:val="single" w:sz="4" w:space="0" w:color="auto"/>
            </w:tcBorders>
            <w:shd w:val="clear" w:color="auto" w:fill="auto"/>
            <w:noWrap/>
            <w:vAlign w:val="bottom"/>
            <w:hideMark/>
          </w:tcPr>
          <w:p w14:paraId="311E562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09918A2"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14A0DF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Ted Noffs Foundation</w:t>
            </w:r>
          </w:p>
        </w:tc>
        <w:tc>
          <w:tcPr>
            <w:tcW w:w="1447" w:type="dxa"/>
            <w:tcBorders>
              <w:top w:val="nil"/>
              <w:left w:val="nil"/>
              <w:bottom w:val="single" w:sz="4" w:space="0" w:color="auto"/>
              <w:right w:val="single" w:sz="4" w:space="0" w:color="auto"/>
            </w:tcBorders>
            <w:shd w:val="clear" w:color="auto" w:fill="auto"/>
            <w:noWrap/>
            <w:vAlign w:val="bottom"/>
            <w:hideMark/>
          </w:tcPr>
          <w:p w14:paraId="1106205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Matthew</w:t>
            </w:r>
          </w:p>
        </w:tc>
        <w:tc>
          <w:tcPr>
            <w:tcW w:w="1637" w:type="dxa"/>
            <w:tcBorders>
              <w:top w:val="nil"/>
              <w:left w:val="nil"/>
              <w:bottom w:val="single" w:sz="4" w:space="0" w:color="auto"/>
              <w:right w:val="single" w:sz="4" w:space="0" w:color="auto"/>
            </w:tcBorders>
            <w:shd w:val="clear" w:color="auto" w:fill="auto"/>
            <w:noWrap/>
            <w:vAlign w:val="bottom"/>
            <w:hideMark/>
          </w:tcPr>
          <w:p w14:paraId="33133CC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Noffs</w:t>
            </w:r>
          </w:p>
        </w:tc>
        <w:tc>
          <w:tcPr>
            <w:tcW w:w="1880" w:type="dxa"/>
            <w:tcBorders>
              <w:top w:val="nil"/>
              <w:left w:val="nil"/>
              <w:bottom w:val="single" w:sz="4" w:space="0" w:color="auto"/>
              <w:right w:val="single" w:sz="4" w:space="0" w:color="auto"/>
            </w:tcBorders>
            <w:shd w:val="clear" w:color="auto" w:fill="auto"/>
            <w:noWrap/>
            <w:vAlign w:val="bottom"/>
            <w:hideMark/>
          </w:tcPr>
          <w:p w14:paraId="040FE38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1E3FD949"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3C52EBD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Touched by Olivia</w:t>
            </w:r>
          </w:p>
        </w:tc>
        <w:tc>
          <w:tcPr>
            <w:tcW w:w="1447" w:type="dxa"/>
            <w:tcBorders>
              <w:top w:val="nil"/>
              <w:left w:val="nil"/>
              <w:bottom w:val="single" w:sz="4" w:space="0" w:color="auto"/>
              <w:right w:val="single" w:sz="4" w:space="0" w:color="auto"/>
            </w:tcBorders>
            <w:shd w:val="clear" w:color="auto" w:fill="auto"/>
            <w:noWrap/>
            <w:vAlign w:val="bottom"/>
            <w:hideMark/>
          </w:tcPr>
          <w:p w14:paraId="542E3F0B"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Bec</w:t>
            </w:r>
            <w:proofErr w:type="spellEnd"/>
          </w:p>
        </w:tc>
        <w:tc>
          <w:tcPr>
            <w:tcW w:w="1637" w:type="dxa"/>
            <w:tcBorders>
              <w:top w:val="nil"/>
              <w:left w:val="nil"/>
              <w:bottom w:val="single" w:sz="4" w:space="0" w:color="auto"/>
              <w:right w:val="single" w:sz="4" w:space="0" w:color="auto"/>
            </w:tcBorders>
            <w:shd w:val="clear" w:color="auto" w:fill="auto"/>
            <w:noWrap/>
            <w:vAlign w:val="bottom"/>
            <w:hideMark/>
          </w:tcPr>
          <w:p w14:paraId="0D355BB8"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Ho</w:t>
            </w:r>
          </w:p>
        </w:tc>
        <w:tc>
          <w:tcPr>
            <w:tcW w:w="1880" w:type="dxa"/>
            <w:tcBorders>
              <w:top w:val="nil"/>
              <w:left w:val="nil"/>
              <w:bottom w:val="single" w:sz="4" w:space="0" w:color="auto"/>
              <w:right w:val="single" w:sz="4" w:space="0" w:color="auto"/>
            </w:tcBorders>
            <w:shd w:val="clear" w:color="auto" w:fill="auto"/>
            <w:noWrap/>
            <w:vAlign w:val="bottom"/>
            <w:hideMark/>
          </w:tcPr>
          <w:p w14:paraId="530C69B3"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3F00276A"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27F968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Variety Australia</w:t>
            </w:r>
          </w:p>
        </w:tc>
        <w:tc>
          <w:tcPr>
            <w:tcW w:w="1447" w:type="dxa"/>
            <w:tcBorders>
              <w:top w:val="nil"/>
              <w:left w:val="nil"/>
              <w:bottom w:val="single" w:sz="4" w:space="0" w:color="auto"/>
              <w:right w:val="single" w:sz="4" w:space="0" w:color="auto"/>
            </w:tcBorders>
            <w:shd w:val="clear" w:color="auto" w:fill="auto"/>
            <w:noWrap/>
            <w:vAlign w:val="bottom"/>
            <w:hideMark/>
          </w:tcPr>
          <w:p w14:paraId="43BE2D5B"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Neil </w:t>
            </w:r>
          </w:p>
        </w:tc>
        <w:tc>
          <w:tcPr>
            <w:tcW w:w="1637" w:type="dxa"/>
            <w:tcBorders>
              <w:top w:val="nil"/>
              <w:left w:val="nil"/>
              <w:bottom w:val="single" w:sz="4" w:space="0" w:color="auto"/>
              <w:right w:val="single" w:sz="4" w:space="0" w:color="auto"/>
            </w:tcBorders>
            <w:shd w:val="clear" w:color="auto" w:fill="auto"/>
            <w:noWrap/>
            <w:vAlign w:val="bottom"/>
            <w:hideMark/>
          </w:tcPr>
          <w:p w14:paraId="71DEC902"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Wykes</w:t>
            </w:r>
            <w:proofErr w:type="spellEnd"/>
            <w:r w:rsidRPr="00512BCC">
              <w:rPr>
                <w:rFonts w:ascii="Calibri" w:eastAsia="Times New Roman" w:hAnsi="Calibri" w:cs="Calibri"/>
                <w:color w:val="000000"/>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0AD2407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Company Secretary </w:t>
            </w:r>
          </w:p>
        </w:tc>
      </w:tr>
      <w:tr w:rsidR="00060937" w:rsidRPr="00512BCC" w14:paraId="607E0A4F"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3F4F5F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Volunteering Australia</w:t>
            </w:r>
          </w:p>
        </w:tc>
        <w:tc>
          <w:tcPr>
            <w:tcW w:w="1447" w:type="dxa"/>
            <w:tcBorders>
              <w:top w:val="nil"/>
              <w:left w:val="nil"/>
              <w:bottom w:val="single" w:sz="4" w:space="0" w:color="auto"/>
              <w:right w:val="single" w:sz="4" w:space="0" w:color="auto"/>
            </w:tcBorders>
            <w:shd w:val="clear" w:color="auto" w:fill="auto"/>
            <w:noWrap/>
            <w:vAlign w:val="bottom"/>
            <w:hideMark/>
          </w:tcPr>
          <w:p w14:paraId="678C99C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Brett </w:t>
            </w:r>
          </w:p>
        </w:tc>
        <w:tc>
          <w:tcPr>
            <w:tcW w:w="1637" w:type="dxa"/>
            <w:tcBorders>
              <w:top w:val="nil"/>
              <w:left w:val="nil"/>
              <w:bottom w:val="single" w:sz="4" w:space="0" w:color="auto"/>
              <w:right w:val="single" w:sz="4" w:space="0" w:color="auto"/>
            </w:tcBorders>
            <w:shd w:val="clear" w:color="auto" w:fill="auto"/>
            <w:noWrap/>
            <w:vAlign w:val="bottom"/>
            <w:hideMark/>
          </w:tcPr>
          <w:p w14:paraId="17F48F6F"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Williamson</w:t>
            </w:r>
          </w:p>
        </w:tc>
        <w:tc>
          <w:tcPr>
            <w:tcW w:w="1880" w:type="dxa"/>
            <w:tcBorders>
              <w:top w:val="nil"/>
              <w:left w:val="nil"/>
              <w:bottom w:val="single" w:sz="4" w:space="0" w:color="auto"/>
              <w:right w:val="single" w:sz="4" w:space="0" w:color="auto"/>
            </w:tcBorders>
            <w:shd w:val="clear" w:color="auto" w:fill="auto"/>
            <w:noWrap/>
            <w:vAlign w:val="bottom"/>
            <w:hideMark/>
          </w:tcPr>
          <w:p w14:paraId="1C2F5FE1"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1B0FE3D7"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E5E7527"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Wesley Mission</w:t>
            </w:r>
          </w:p>
        </w:tc>
        <w:tc>
          <w:tcPr>
            <w:tcW w:w="1447" w:type="dxa"/>
            <w:tcBorders>
              <w:top w:val="nil"/>
              <w:left w:val="nil"/>
              <w:bottom w:val="single" w:sz="4" w:space="0" w:color="auto"/>
              <w:right w:val="single" w:sz="4" w:space="0" w:color="auto"/>
            </w:tcBorders>
            <w:shd w:val="clear" w:color="auto" w:fill="auto"/>
            <w:noWrap/>
            <w:vAlign w:val="bottom"/>
            <w:hideMark/>
          </w:tcPr>
          <w:p w14:paraId="68C14E0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Keith </w:t>
            </w:r>
          </w:p>
        </w:tc>
        <w:tc>
          <w:tcPr>
            <w:tcW w:w="1637" w:type="dxa"/>
            <w:tcBorders>
              <w:top w:val="nil"/>
              <w:left w:val="nil"/>
              <w:bottom w:val="single" w:sz="4" w:space="0" w:color="auto"/>
              <w:right w:val="single" w:sz="4" w:space="0" w:color="auto"/>
            </w:tcBorders>
            <w:shd w:val="clear" w:color="auto" w:fill="auto"/>
            <w:noWrap/>
            <w:vAlign w:val="bottom"/>
            <w:hideMark/>
          </w:tcPr>
          <w:p w14:paraId="5ADC56B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Garner</w:t>
            </w:r>
          </w:p>
        </w:tc>
        <w:tc>
          <w:tcPr>
            <w:tcW w:w="1880" w:type="dxa"/>
            <w:tcBorders>
              <w:top w:val="nil"/>
              <w:left w:val="nil"/>
              <w:bottom w:val="single" w:sz="4" w:space="0" w:color="auto"/>
              <w:right w:val="single" w:sz="4" w:space="0" w:color="auto"/>
            </w:tcBorders>
            <w:shd w:val="clear" w:color="auto" w:fill="auto"/>
            <w:noWrap/>
            <w:vAlign w:val="bottom"/>
            <w:hideMark/>
          </w:tcPr>
          <w:p w14:paraId="51F765F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274D5571"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BA4758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White Ribbon Australia</w:t>
            </w:r>
          </w:p>
        </w:tc>
        <w:tc>
          <w:tcPr>
            <w:tcW w:w="1447" w:type="dxa"/>
            <w:tcBorders>
              <w:top w:val="nil"/>
              <w:left w:val="nil"/>
              <w:bottom w:val="single" w:sz="4" w:space="0" w:color="auto"/>
              <w:right w:val="single" w:sz="4" w:space="0" w:color="auto"/>
            </w:tcBorders>
            <w:shd w:val="clear" w:color="auto" w:fill="auto"/>
            <w:noWrap/>
            <w:vAlign w:val="bottom"/>
            <w:hideMark/>
          </w:tcPr>
          <w:p w14:paraId="7F3DFF1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Libby</w:t>
            </w:r>
          </w:p>
        </w:tc>
        <w:tc>
          <w:tcPr>
            <w:tcW w:w="1637" w:type="dxa"/>
            <w:tcBorders>
              <w:top w:val="nil"/>
              <w:left w:val="nil"/>
              <w:bottom w:val="single" w:sz="4" w:space="0" w:color="auto"/>
              <w:right w:val="single" w:sz="4" w:space="0" w:color="auto"/>
            </w:tcBorders>
            <w:shd w:val="clear" w:color="auto" w:fill="auto"/>
            <w:noWrap/>
            <w:vAlign w:val="bottom"/>
            <w:hideMark/>
          </w:tcPr>
          <w:p w14:paraId="086F9B34"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Davies</w:t>
            </w:r>
          </w:p>
        </w:tc>
        <w:tc>
          <w:tcPr>
            <w:tcW w:w="1880" w:type="dxa"/>
            <w:tcBorders>
              <w:top w:val="nil"/>
              <w:left w:val="nil"/>
              <w:bottom w:val="single" w:sz="4" w:space="0" w:color="auto"/>
              <w:right w:val="single" w:sz="4" w:space="0" w:color="auto"/>
            </w:tcBorders>
            <w:shd w:val="clear" w:color="auto" w:fill="auto"/>
            <w:noWrap/>
            <w:vAlign w:val="bottom"/>
            <w:hideMark/>
          </w:tcPr>
          <w:p w14:paraId="3CA1D3F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r w:rsidR="00060937" w:rsidRPr="00512BCC" w14:paraId="77748404"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CD3980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World Vision</w:t>
            </w:r>
          </w:p>
        </w:tc>
        <w:tc>
          <w:tcPr>
            <w:tcW w:w="1447" w:type="dxa"/>
            <w:tcBorders>
              <w:top w:val="nil"/>
              <w:left w:val="nil"/>
              <w:bottom w:val="single" w:sz="4" w:space="0" w:color="auto"/>
              <w:right w:val="single" w:sz="4" w:space="0" w:color="auto"/>
            </w:tcBorders>
            <w:shd w:val="clear" w:color="auto" w:fill="auto"/>
            <w:noWrap/>
            <w:vAlign w:val="bottom"/>
            <w:hideMark/>
          </w:tcPr>
          <w:p w14:paraId="3C7D4048" w14:textId="77777777" w:rsidR="00060937" w:rsidRPr="00512BCC" w:rsidRDefault="00776ADF" w:rsidP="00060937">
            <w:pPr>
              <w:contextualSpacing/>
              <w:rPr>
                <w:rFonts w:ascii="Calibri" w:eastAsia="Times New Roman" w:hAnsi="Calibri" w:cs="Calibri"/>
                <w:color w:val="000000"/>
              </w:rPr>
            </w:pPr>
            <w:hyperlink r:id="rId12" w:history="1">
              <w:r w:rsidR="00060937" w:rsidRPr="00512BCC">
                <w:rPr>
                  <w:rFonts w:ascii="Calibri" w:eastAsia="Times New Roman" w:hAnsi="Calibri" w:cs="Calibri"/>
                  <w:color w:val="000000"/>
                </w:rPr>
                <w:t>Tim</w:t>
              </w:r>
            </w:hyperlink>
          </w:p>
        </w:tc>
        <w:tc>
          <w:tcPr>
            <w:tcW w:w="1637" w:type="dxa"/>
            <w:tcBorders>
              <w:top w:val="nil"/>
              <w:left w:val="nil"/>
              <w:bottom w:val="single" w:sz="4" w:space="0" w:color="auto"/>
              <w:right w:val="single" w:sz="4" w:space="0" w:color="auto"/>
            </w:tcBorders>
            <w:shd w:val="clear" w:color="auto" w:fill="auto"/>
            <w:noWrap/>
            <w:vAlign w:val="bottom"/>
            <w:hideMark/>
          </w:tcPr>
          <w:p w14:paraId="2C17D2EA"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Costello</w:t>
            </w:r>
          </w:p>
        </w:tc>
        <w:tc>
          <w:tcPr>
            <w:tcW w:w="1880" w:type="dxa"/>
            <w:tcBorders>
              <w:top w:val="nil"/>
              <w:left w:val="nil"/>
              <w:bottom w:val="single" w:sz="4" w:space="0" w:color="auto"/>
              <w:right w:val="single" w:sz="4" w:space="0" w:color="auto"/>
            </w:tcBorders>
            <w:shd w:val="clear" w:color="auto" w:fill="auto"/>
            <w:noWrap/>
            <w:vAlign w:val="bottom"/>
            <w:hideMark/>
          </w:tcPr>
          <w:p w14:paraId="29031CCC"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Chief Advocate</w:t>
            </w:r>
          </w:p>
        </w:tc>
      </w:tr>
      <w:tr w:rsidR="00060937" w:rsidRPr="00512BCC" w14:paraId="53CB8FEE"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BF97959"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YMCA Australia</w:t>
            </w:r>
          </w:p>
        </w:tc>
        <w:tc>
          <w:tcPr>
            <w:tcW w:w="1447" w:type="dxa"/>
            <w:tcBorders>
              <w:top w:val="nil"/>
              <w:left w:val="nil"/>
              <w:bottom w:val="single" w:sz="4" w:space="0" w:color="auto"/>
              <w:right w:val="single" w:sz="4" w:space="0" w:color="auto"/>
            </w:tcBorders>
            <w:shd w:val="clear" w:color="auto" w:fill="auto"/>
            <w:noWrap/>
            <w:vAlign w:val="bottom"/>
            <w:hideMark/>
          </w:tcPr>
          <w:p w14:paraId="3CB13AC0"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Melinda</w:t>
            </w:r>
          </w:p>
        </w:tc>
        <w:tc>
          <w:tcPr>
            <w:tcW w:w="1637" w:type="dxa"/>
            <w:tcBorders>
              <w:top w:val="nil"/>
              <w:left w:val="nil"/>
              <w:bottom w:val="single" w:sz="4" w:space="0" w:color="auto"/>
              <w:right w:val="single" w:sz="4" w:space="0" w:color="auto"/>
            </w:tcBorders>
            <w:shd w:val="clear" w:color="auto" w:fill="auto"/>
            <w:noWrap/>
            <w:vAlign w:val="bottom"/>
            <w:hideMark/>
          </w:tcPr>
          <w:p w14:paraId="7627B568" w14:textId="77777777" w:rsidR="00060937" w:rsidRPr="00512BCC" w:rsidRDefault="00060937" w:rsidP="00060937">
            <w:pPr>
              <w:contextualSpacing/>
              <w:rPr>
                <w:rFonts w:ascii="Calibri" w:eastAsia="Times New Roman" w:hAnsi="Calibri" w:cs="Calibri"/>
                <w:color w:val="000000"/>
              </w:rPr>
            </w:pPr>
            <w:proofErr w:type="spellStart"/>
            <w:r w:rsidRPr="00512BCC">
              <w:rPr>
                <w:rFonts w:ascii="Calibri" w:eastAsia="Times New Roman" w:hAnsi="Calibri" w:cs="Calibri"/>
                <w:color w:val="000000"/>
              </w:rPr>
              <w:t>Crole</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6C6758E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 a/c</w:t>
            </w:r>
          </w:p>
        </w:tc>
      </w:tr>
      <w:tr w:rsidR="00060937" w:rsidRPr="00512BCC" w14:paraId="08A8C505" w14:textId="77777777" w:rsidTr="00D02360">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35D85D6"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Youth Off the Streets</w:t>
            </w:r>
          </w:p>
        </w:tc>
        <w:tc>
          <w:tcPr>
            <w:tcW w:w="1447" w:type="dxa"/>
            <w:tcBorders>
              <w:top w:val="nil"/>
              <w:left w:val="nil"/>
              <w:bottom w:val="single" w:sz="4" w:space="0" w:color="auto"/>
              <w:right w:val="single" w:sz="4" w:space="0" w:color="auto"/>
            </w:tcBorders>
            <w:shd w:val="clear" w:color="auto" w:fill="auto"/>
            <w:noWrap/>
            <w:vAlign w:val="bottom"/>
            <w:hideMark/>
          </w:tcPr>
          <w:p w14:paraId="75E43D8D"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Father Chris </w:t>
            </w:r>
          </w:p>
        </w:tc>
        <w:tc>
          <w:tcPr>
            <w:tcW w:w="1637" w:type="dxa"/>
            <w:tcBorders>
              <w:top w:val="nil"/>
              <w:left w:val="nil"/>
              <w:bottom w:val="single" w:sz="4" w:space="0" w:color="auto"/>
              <w:right w:val="single" w:sz="4" w:space="0" w:color="auto"/>
            </w:tcBorders>
            <w:shd w:val="clear" w:color="auto" w:fill="auto"/>
            <w:noWrap/>
            <w:vAlign w:val="bottom"/>
            <w:hideMark/>
          </w:tcPr>
          <w:p w14:paraId="501A501E"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Riley </w:t>
            </w:r>
          </w:p>
        </w:tc>
        <w:tc>
          <w:tcPr>
            <w:tcW w:w="1880" w:type="dxa"/>
            <w:tcBorders>
              <w:top w:val="nil"/>
              <w:left w:val="nil"/>
              <w:bottom w:val="single" w:sz="4" w:space="0" w:color="auto"/>
              <w:right w:val="single" w:sz="4" w:space="0" w:color="auto"/>
            </w:tcBorders>
            <w:shd w:val="clear" w:color="auto" w:fill="auto"/>
            <w:noWrap/>
            <w:vAlign w:val="bottom"/>
            <w:hideMark/>
          </w:tcPr>
          <w:p w14:paraId="1C807F85" w14:textId="77777777" w:rsidR="00060937" w:rsidRPr="00512BCC" w:rsidRDefault="00060937" w:rsidP="00060937">
            <w:pPr>
              <w:contextualSpacing/>
              <w:rPr>
                <w:rFonts w:ascii="Calibri" w:eastAsia="Times New Roman" w:hAnsi="Calibri" w:cs="Calibri"/>
                <w:color w:val="000000"/>
              </w:rPr>
            </w:pPr>
            <w:r w:rsidRPr="00512BCC">
              <w:rPr>
                <w:rFonts w:ascii="Calibri" w:eastAsia="Times New Roman" w:hAnsi="Calibri" w:cs="Calibri"/>
                <w:color w:val="000000"/>
              </w:rPr>
              <w:t>CEO</w:t>
            </w:r>
          </w:p>
        </w:tc>
      </w:tr>
    </w:tbl>
    <w:p w14:paraId="493419C5" w14:textId="08002CA0" w:rsidR="00060937" w:rsidRPr="00F278B4" w:rsidRDefault="00060937" w:rsidP="005C6727">
      <w:pPr>
        <w:spacing w:beforeLines="60" w:before="144"/>
        <w:rPr>
          <w:rFonts w:asciiTheme="majorHAnsi" w:eastAsia="Times New Roman" w:hAnsiTheme="majorHAnsi" w:cs="Arial"/>
          <w:color w:val="000000"/>
          <w:sz w:val="20"/>
          <w:szCs w:val="20"/>
          <w:lang w:eastAsia="en-AU"/>
        </w:rPr>
      </w:pPr>
    </w:p>
    <w:sectPr w:rsidR="00060937" w:rsidRPr="00F278B4" w:rsidSect="0051598E">
      <w:headerReference w:type="default" r:id="rId13"/>
      <w:footerReference w:type="default" r:id="rId14"/>
      <w:pgSz w:w="11906" w:h="16838"/>
      <w:pgMar w:top="1361" w:right="1021" w:bottom="1134" w:left="102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1407C" w14:textId="77777777" w:rsidR="00AB54B0" w:rsidRDefault="00AB54B0" w:rsidP="00067112">
      <w:pPr>
        <w:spacing w:before="0" w:line="240" w:lineRule="auto"/>
      </w:pPr>
      <w:r>
        <w:separator/>
      </w:r>
    </w:p>
  </w:endnote>
  <w:endnote w:type="continuationSeparator" w:id="0">
    <w:p w14:paraId="46B89402" w14:textId="77777777" w:rsidR="00AB54B0" w:rsidRDefault="00AB54B0" w:rsidP="00067112">
      <w:pPr>
        <w:spacing w:before="0" w:line="240" w:lineRule="auto"/>
      </w:pPr>
      <w:r>
        <w:continuationSeparator/>
      </w:r>
    </w:p>
  </w:endnote>
  <w:endnote w:type="continuationNotice" w:id="1">
    <w:p w14:paraId="1CD9F609" w14:textId="77777777" w:rsidR="00AB54B0" w:rsidRDefault="00AB54B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0017" w14:textId="7ED91422" w:rsidR="00776ADF" w:rsidRPr="00FF7588" w:rsidRDefault="00776ADF" w:rsidP="007611B3">
    <w:pPr>
      <w:pStyle w:val="FooterOdd"/>
    </w:pPr>
    <w:r w:rsidRPr="00FF7588">
      <w:t xml:space="preserve">Page </w:t>
    </w:r>
    <w:r w:rsidRPr="00FF7588">
      <w:fldChar w:fldCharType="begin"/>
    </w:r>
    <w:r w:rsidRPr="00FF7588">
      <w:instrText xml:space="preserve"> PAGE   \* MERGEFORMAT </w:instrText>
    </w:r>
    <w:r w:rsidRPr="00FF7588">
      <w:fldChar w:fldCharType="separate"/>
    </w:r>
    <w:r w:rsidR="00855891" w:rsidRPr="00855891">
      <w:rPr>
        <w:noProof/>
        <w:sz w:val="24"/>
        <w:szCs w:val="24"/>
      </w:rPr>
      <w:t>6</w:t>
    </w:r>
    <w:r w:rsidRPr="00FF7588">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885B" w14:textId="77777777" w:rsidR="00AB54B0" w:rsidRDefault="00AB54B0" w:rsidP="00067112">
      <w:pPr>
        <w:spacing w:before="0" w:line="240" w:lineRule="auto"/>
      </w:pPr>
      <w:r>
        <w:separator/>
      </w:r>
    </w:p>
  </w:footnote>
  <w:footnote w:type="continuationSeparator" w:id="0">
    <w:p w14:paraId="597BD5AB" w14:textId="77777777" w:rsidR="00AB54B0" w:rsidRDefault="00AB54B0" w:rsidP="00067112">
      <w:pPr>
        <w:spacing w:before="0" w:line="240" w:lineRule="auto"/>
      </w:pPr>
      <w:r>
        <w:continuationSeparator/>
      </w:r>
    </w:p>
  </w:footnote>
  <w:footnote w:type="continuationNotice" w:id="1">
    <w:p w14:paraId="49492DC5" w14:textId="77777777" w:rsidR="00AB54B0" w:rsidRDefault="00AB54B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8280" w14:textId="2937F24F" w:rsidR="00776ADF" w:rsidRPr="007611B3" w:rsidRDefault="00776ADF" w:rsidP="00521580">
    <w:pPr>
      <w:pStyle w:val="Header"/>
      <w:jc w:val="right"/>
      <w:rPr>
        <w:lang w:val="en-US"/>
      </w:rPr>
    </w:pPr>
    <w:r>
      <w:rPr>
        <w:color w:val="1F497D" w:themeColor="text2"/>
        <w:sz w:val="20"/>
        <w:szCs w:val="20"/>
        <w:lang w:val="en-US"/>
      </w:rPr>
      <w:t>Community Council for Australia</w:t>
    </w:r>
    <w:r w:rsidRPr="007611B3">
      <w:rPr>
        <w:i/>
        <w:color w:val="1F497D" w:themeColor="text2"/>
        <w:sz w:val="20"/>
        <w:szCs w:val="20"/>
        <w:lang w:val="en-US"/>
      </w:rPr>
      <w:t xml:space="preserve">: </w:t>
    </w:r>
    <w:r>
      <w:rPr>
        <w:i/>
        <w:color w:val="1F497D" w:themeColor="text2"/>
        <w:sz w:val="20"/>
        <w:szCs w:val="20"/>
        <w:lang w:val="en-US"/>
      </w:rPr>
      <w:t>Whistleblower Protections</w:t>
    </w:r>
    <w:r w:rsidRPr="007611B3">
      <w:rPr>
        <w:i/>
        <w:color w:val="1F497D" w:themeColor="text2"/>
        <w:sz w:val="20"/>
        <w:szCs w:val="20"/>
        <w:lang w:val="en-US"/>
      </w:rPr>
      <w:t xml:space="preserve"> Submission 201</w:t>
    </w:r>
    <w:r>
      <w:rPr>
        <w:i/>
        <w:color w:val="1F497D" w:themeColor="text2"/>
        <w:sz w:val="20"/>
        <w:szCs w:val="20"/>
        <w:lang w:val="en-US"/>
      </w:rPr>
      <w:t xml:space="preserve">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BAC"/>
    <w:multiLevelType w:val="hybridMultilevel"/>
    <w:tmpl w:val="531A9614"/>
    <w:lvl w:ilvl="0" w:tplc="F3442F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15:restartNumberingAfterBreak="0">
    <w:nsid w:val="02133A08"/>
    <w:multiLevelType w:val="hybridMultilevel"/>
    <w:tmpl w:val="2B88697A"/>
    <w:lvl w:ilvl="0" w:tplc="85707B08">
      <w:start w:val="1"/>
      <w:numFmt w:val="lowerLetter"/>
      <w:lvlText w:val="%1)"/>
      <w:lvlJc w:val="left"/>
      <w:pPr>
        <w:ind w:left="1443" w:hanging="360"/>
      </w:pPr>
      <w:rPr>
        <w:rFonts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2" w15:restartNumberingAfterBreak="0">
    <w:nsid w:val="02FB177E"/>
    <w:multiLevelType w:val="hybridMultilevel"/>
    <w:tmpl w:val="5CD02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D4241"/>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A83A91"/>
    <w:multiLevelType w:val="hybridMultilevel"/>
    <w:tmpl w:val="3118E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911253"/>
    <w:multiLevelType w:val="hybridMultilevel"/>
    <w:tmpl w:val="3118E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D93831"/>
    <w:multiLevelType w:val="multilevel"/>
    <w:tmpl w:val="F168C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B76C9"/>
    <w:multiLevelType w:val="hybridMultilevel"/>
    <w:tmpl w:val="AE489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707BDA"/>
    <w:multiLevelType w:val="multilevel"/>
    <w:tmpl w:val="7EA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540E8"/>
    <w:multiLevelType w:val="hybridMultilevel"/>
    <w:tmpl w:val="991677D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1CB80550"/>
    <w:multiLevelType w:val="hybridMultilevel"/>
    <w:tmpl w:val="0884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E5521"/>
    <w:multiLevelType w:val="hybridMultilevel"/>
    <w:tmpl w:val="3034926C"/>
    <w:lvl w:ilvl="0" w:tplc="0C090001">
      <w:start w:val="1"/>
      <w:numFmt w:val="bullet"/>
      <w:lvlText w:val=""/>
      <w:lvlJc w:val="left"/>
      <w:pPr>
        <w:ind w:left="12" w:hanging="360"/>
      </w:pPr>
      <w:rPr>
        <w:rFonts w:ascii="Symbol" w:hAnsi="Symbol" w:hint="default"/>
      </w:rPr>
    </w:lvl>
    <w:lvl w:ilvl="1" w:tplc="0C090003" w:tentative="1">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12" w15:restartNumberingAfterBreak="0">
    <w:nsid w:val="23DA19A1"/>
    <w:multiLevelType w:val="hybridMultilevel"/>
    <w:tmpl w:val="D700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4E104D5"/>
    <w:multiLevelType w:val="hybridMultilevel"/>
    <w:tmpl w:val="CB16A068"/>
    <w:lvl w:ilvl="0" w:tplc="078A8F3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5" w15:restartNumberingAfterBreak="0">
    <w:nsid w:val="277F629D"/>
    <w:multiLevelType w:val="hybridMultilevel"/>
    <w:tmpl w:val="E2D8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E76A7"/>
    <w:multiLevelType w:val="hybridMultilevel"/>
    <w:tmpl w:val="50BC9338"/>
    <w:lvl w:ilvl="0" w:tplc="CE8ED2E6">
      <w:start w:val="1"/>
      <w:numFmt w:val="decimal"/>
      <w:lvlText w:val="%1."/>
      <w:lvlJc w:val="left"/>
      <w:pPr>
        <w:ind w:left="360"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7" w15:restartNumberingAfterBreak="0">
    <w:nsid w:val="28AA3C0B"/>
    <w:multiLevelType w:val="hybridMultilevel"/>
    <w:tmpl w:val="46942C48"/>
    <w:lvl w:ilvl="0" w:tplc="85707B0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92E14F6"/>
    <w:multiLevelType w:val="hybridMultilevel"/>
    <w:tmpl w:val="546AD596"/>
    <w:lvl w:ilvl="0" w:tplc="504ABF96">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E25756"/>
    <w:multiLevelType w:val="multilevel"/>
    <w:tmpl w:val="6BEA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531817"/>
    <w:multiLevelType w:val="hybridMultilevel"/>
    <w:tmpl w:val="ED4C06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965643"/>
    <w:multiLevelType w:val="hybridMultilevel"/>
    <w:tmpl w:val="32040EC2"/>
    <w:lvl w:ilvl="0" w:tplc="EAEE742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B72902"/>
    <w:multiLevelType w:val="hybridMultilevel"/>
    <w:tmpl w:val="E89A11A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5BA4BEE"/>
    <w:multiLevelType w:val="hybridMultilevel"/>
    <w:tmpl w:val="784C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141FD3"/>
    <w:multiLevelType w:val="hybridMultilevel"/>
    <w:tmpl w:val="3FE8F79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B80602F"/>
    <w:multiLevelType w:val="hybridMultilevel"/>
    <w:tmpl w:val="2BBC4F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655331"/>
    <w:multiLevelType w:val="hybridMultilevel"/>
    <w:tmpl w:val="8BFE02C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9A41EB"/>
    <w:multiLevelType w:val="hybridMultilevel"/>
    <w:tmpl w:val="50BC9338"/>
    <w:lvl w:ilvl="0" w:tplc="CE8ED2E6">
      <w:start w:val="1"/>
      <w:numFmt w:val="decimal"/>
      <w:lvlText w:val="%1."/>
      <w:lvlJc w:val="left"/>
      <w:pPr>
        <w:ind w:left="720"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8" w15:restartNumberingAfterBreak="0">
    <w:nsid w:val="50FA482E"/>
    <w:multiLevelType w:val="hybridMultilevel"/>
    <w:tmpl w:val="3118E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491F0C"/>
    <w:multiLevelType w:val="hybridMultilevel"/>
    <w:tmpl w:val="96FA737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75D450B"/>
    <w:multiLevelType w:val="hybridMultilevel"/>
    <w:tmpl w:val="29F4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C9710B"/>
    <w:multiLevelType w:val="hybridMultilevel"/>
    <w:tmpl w:val="9362C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DB6084"/>
    <w:multiLevelType w:val="hybridMultilevel"/>
    <w:tmpl w:val="ED6866C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EFB0ABD"/>
    <w:multiLevelType w:val="hybridMultilevel"/>
    <w:tmpl w:val="3B908C26"/>
    <w:lvl w:ilvl="0" w:tplc="CE8ED2E6">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4" w15:restartNumberingAfterBreak="0">
    <w:nsid w:val="5F73128E"/>
    <w:multiLevelType w:val="hybridMultilevel"/>
    <w:tmpl w:val="8EC8014C"/>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8DB6D85"/>
    <w:multiLevelType w:val="hybridMultilevel"/>
    <w:tmpl w:val="D2689E0E"/>
    <w:lvl w:ilvl="0" w:tplc="388CC966">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695401CB"/>
    <w:multiLevelType w:val="hybridMultilevel"/>
    <w:tmpl w:val="0D140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922C9E"/>
    <w:multiLevelType w:val="hybridMultilevel"/>
    <w:tmpl w:val="E968D956"/>
    <w:lvl w:ilvl="0" w:tplc="D23278D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1D0D6D"/>
    <w:multiLevelType w:val="hybridMultilevel"/>
    <w:tmpl w:val="76E4728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74221E0D"/>
    <w:multiLevelType w:val="hybridMultilevel"/>
    <w:tmpl w:val="1F602E50"/>
    <w:lvl w:ilvl="0" w:tplc="90849D32">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0" w15:restartNumberingAfterBreak="0">
    <w:nsid w:val="744A1286"/>
    <w:multiLevelType w:val="hybridMultilevel"/>
    <w:tmpl w:val="4EBAC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F46096"/>
    <w:multiLevelType w:val="hybridMultilevel"/>
    <w:tmpl w:val="5CD02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006B77"/>
    <w:multiLevelType w:val="hybridMultilevel"/>
    <w:tmpl w:val="1402FA8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abstractNumId w:val="29"/>
  </w:num>
  <w:num w:numId="2">
    <w:abstractNumId w:val="38"/>
  </w:num>
  <w:num w:numId="3">
    <w:abstractNumId w:val="41"/>
  </w:num>
  <w:num w:numId="4">
    <w:abstractNumId w:val="32"/>
  </w:num>
  <w:num w:numId="5">
    <w:abstractNumId w:val="22"/>
  </w:num>
  <w:num w:numId="6">
    <w:abstractNumId w:val="33"/>
  </w:num>
  <w:num w:numId="7">
    <w:abstractNumId w:val="27"/>
  </w:num>
  <w:num w:numId="8">
    <w:abstractNumId w:val="4"/>
  </w:num>
  <w:num w:numId="9">
    <w:abstractNumId w:val="28"/>
  </w:num>
  <w:num w:numId="10">
    <w:abstractNumId w:val="13"/>
  </w:num>
  <w:num w:numId="11">
    <w:abstractNumId w:val="5"/>
  </w:num>
  <w:num w:numId="12">
    <w:abstractNumId w:val="0"/>
  </w:num>
  <w:num w:numId="13">
    <w:abstractNumId w:val="20"/>
  </w:num>
  <w:num w:numId="14">
    <w:abstractNumId w:val="11"/>
  </w:num>
  <w:num w:numId="15">
    <w:abstractNumId w:val="3"/>
  </w:num>
  <w:num w:numId="16">
    <w:abstractNumId w:val="18"/>
  </w:num>
  <w:num w:numId="17">
    <w:abstractNumId w:val="23"/>
  </w:num>
  <w:num w:numId="18">
    <w:abstractNumId w:val="35"/>
  </w:num>
  <w:num w:numId="19">
    <w:abstractNumId w:val="36"/>
  </w:num>
  <w:num w:numId="20">
    <w:abstractNumId w:val="31"/>
  </w:num>
  <w:num w:numId="21">
    <w:abstractNumId w:val="26"/>
  </w:num>
  <w:num w:numId="22">
    <w:abstractNumId w:val="34"/>
  </w:num>
  <w:num w:numId="23">
    <w:abstractNumId w:val="40"/>
  </w:num>
  <w:num w:numId="24">
    <w:abstractNumId w:val="30"/>
  </w:num>
  <w:num w:numId="25">
    <w:abstractNumId w:val="17"/>
  </w:num>
  <w:num w:numId="26">
    <w:abstractNumId w:val="1"/>
  </w:num>
  <w:num w:numId="27">
    <w:abstractNumId w:val="8"/>
  </w:num>
  <w:num w:numId="28">
    <w:abstractNumId w:val="19"/>
  </w:num>
  <w:num w:numId="29">
    <w:abstractNumId w:val="12"/>
  </w:num>
  <w:num w:numId="30">
    <w:abstractNumId w:val="16"/>
  </w:num>
  <w:num w:numId="31">
    <w:abstractNumId w:val="42"/>
  </w:num>
  <w:num w:numId="32">
    <w:abstractNumId w:val="7"/>
  </w:num>
  <w:num w:numId="33">
    <w:abstractNumId w:val="21"/>
  </w:num>
  <w:num w:numId="34">
    <w:abstractNumId w:val="25"/>
  </w:num>
  <w:num w:numId="35">
    <w:abstractNumId w:val="9"/>
  </w:num>
  <w:num w:numId="36">
    <w:abstractNumId w:val="15"/>
  </w:num>
  <w:num w:numId="37">
    <w:abstractNumId w:val="10"/>
  </w:num>
  <w:num w:numId="38">
    <w:abstractNumId w:val="2"/>
  </w:num>
  <w:num w:numId="39">
    <w:abstractNumId w:val="37"/>
  </w:num>
  <w:num w:numId="40">
    <w:abstractNumId w:val="24"/>
  </w:num>
  <w:num w:numId="41">
    <w:abstractNumId w:val="6"/>
  </w:num>
  <w:num w:numId="42">
    <w:abstractNumId w:val="3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D9"/>
    <w:rsid w:val="0001463C"/>
    <w:rsid w:val="00015B49"/>
    <w:rsid w:val="0004142D"/>
    <w:rsid w:val="00060937"/>
    <w:rsid w:val="0006273F"/>
    <w:rsid w:val="00067112"/>
    <w:rsid w:val="000738AE"/>
    <w:rsid w:val="000774D0"/>
    <w:rsid w:val="00095FCE"/>
    <w:rsid w:val="0009632A"/>
    <w:rsid w:val="000A388F"/>
    <w:rsid w:val="000A7549"/>
    <w:rsid w:val="000B23F4"/>
    <w:rsid w:val="000C02D5"/>
    <w:rsid w:val="000C3867"/>
    <w:rsid w:val="000D2200"/>
    <w:rsid w:val="000D4642"/>
    <w:rsid w:val="000E1276"/>
    <w:rsid w:val="000F58F4"/>
    <w:rsid w:val="001027A2"/>
    <w:rsid w:val="0011264C"/>
    <w:rsid w:val="00114F70"/>
    <w:rsid w:val="001246C6"/>
    <w:rsid w:val="001250A6"/>
    <w:rsid w:val="0013161C"/>
    <w:rsid w:val="00136601"/>
    <w:rsid w:val="0014003A"/>
    <w:rsid w:val="001470D8"/>
    <w:rsid w:val="00166928"/>
    <w:rsid w:val="00172A8B"/>
    <w:rsid w:val="001823C3"/>
    <w:rsid w:val="0019035D"/>
    <w:rsid w:val="00190CBD"/>
    <w:rsid w:val="001A23F2"/>
    <w:rsid w:val="001A33E4"/>
    <w:rsid w:val="001B040C"/>
    <w:rsid w:val="001B2B1A"/>
    <w:rsid w:val="001C6044"/>
    <w:rsid w:val="001D6A40"/>
    <w:rsid w:val="001F2701"/>
    <w:rsid w:val="001F27E7"/>
    <w:rsid w:val="001F3B10"/>
    <w:rsid w:val="001F4E5C"/>
    <w:rsid w:val="00200E42"/>
    <w:rsid w:val="00201B84"/>
    <w:rsid w:val="002109F1"/>
    <w:rsid w:val="00220E50"/>
    <w:rsid w:val="002240DD"/>
    <w:rsid w:val="00234284"/>
    <w:rsid w:val="00236CEC"/>
    <w:rsid w:val="0023720C"/>
    <w:rsid w:val="00255FF4"/>
    <w:rsid w:val="00263186"/>
    <w:rsid w:val="0026444E"/>
    <w:rsid w:val="0028056E"/>
    <w:rsid w:val="00285E93"/>
    <w:rsid w:val="00291742"/>
    <w:rsid w:val="00292EDA"/>
    <w:rsid w:val="00295A23"/>
    <w:rsid w:val="00296EB6"/>
    <w:rsid w:val="002A672C"/>
    <w:rsid w:val="002B6C66"/>
    <w:rsid w:val="002C71E9"/>
    <w:rsid w:val="002C73FB"/>
    <w:rsid w:val="002D19DE"/>
    <w:rsid w:val="002D41E4"/>
    <w:rsid w:val="002D48F0"/>
    <w:rsid w:val="002D7C15"/>
    <w:rsid w:val="002E48E6"/>
    <w:rsid w:val="002E5824"/>
    <w:rsid w:val="002E7F88"/>
    <w:rsid w:val="00314F5B"/>
    <w:rsid w:val="00320A11"/>
    <w:rsid w:val="00321613"/>
    <w:rsid w:val="00326F9C"/>
    <w:rsid w:val="00330A38"/>
    <w:rsid w:val="003518EF"/>
    <w:rsid w:val="003565C3"/>
    <w:rsid w:val="00360CA9"/>
    <w:rsid w:val="003705E3"/>
    <w:rsid w:val="0037184A"/>
    <w:rsid w:val="00374BFE"/>
    <w:rsid w:val="00381F4F"/>
    <w:rsid w:val="003821AC"/>
    <w:rsid w:val="00394C72"/>
    <w:rsid w:val="003A0045"/>
    <w:rsid w:val="003A29F6"/>
    <w:rsid w:val="003A33EB"/>
    <w:rsid w:val="003A3F48"/>
    <w:rsid w:val="003B4B1E"/>
    <w:rsid w:val="003C2C05"/>
    <w:rsid w:val="003E4643"/>
    <w:rsid w:val="003F49E6"/>
    <w:rsid w:val="0040312E"/>
    <w:rsid w:val="004063F9"/>
    <w:rsid w:val="004064EE"/>
    <w:rsid w:val="00406C9A"/>
    <w:rsid w:val="00410EBA"/>
    <w:rsid w:val="00414323"/>
    <w:rsid w:val="00414CC7"/>
    <w:rsid w:val="00430D2D"/>
    <w:rsid w:val="0044078B"/>
    <w:rsid w:val="00444CC6"/>
    <w:rsid w:val="00467C27"/>
    <w:rsid w:val="00471915"/>
    <w:rsid w:val="00471BD9"/>
    <w:rsid w:val="00474215"/>
    <w:rsid w:val="00480F53"/>
    <w:rsid w:val="0048279F"/>
    <w:rsid w:val="00490881"/>
    <w:rsid w:val="00491C1C"/>
    <w:rsid w:val="00495096"/>
    <w:rsid w:val="004A52DD"/>
    <w:rsid w:val="004B0B4A"/>
    <w:rsid w:val="004B1D99"/>
    <w:rsid w:val="004B7141"/>
    <w:rsid w:val="004E1D04"/>
    <w:rsid w:val="004E33C8"/>
    <w:rsid w:val="004E3B16"/>
    <w:rsid w:val="004E522B"/>
    <w:rsid w:val="00507EFC"/>
    <w:rsid w:val="0051598E"/>
    <w:rsid w:val="005176E5"/>
    <w:rsid w:val="00521580"/>
    <w:rsid w:val="00524020"/>
    <w:rsid w:val="005254F8"/>
    <w:rsid w:val="00533071"/>
    <w:rsid w:val="005359BB"/>
    <w:rsid w:val="00542BB9"/>
    <w:rsid w:val="00543EBD"/>
    <w:rsid w:val="00544AD9"/>
    <w:rsid w:val="00546F99"/>
    <w:rsid w:val="0055115D"/>
    <w:rsid w:val="00552C3D"/>
    <w:rsid w:val="00554017"/>
    <w:rsid w:val="00554681"/>
    <w:rsid w:val="005602A2"/>
    <w:rsid w:val="00571A56"/>
    <w:rsid w:val="00582C29"/>
    <w:rsid w:val="00587D3E"/>
    <w:rsid w:val="005A1558"/>
    <w:rsid w:val="005A4C0F"/>
    <w:rsid w:val="005B1952"/>
    <w:rsid w:val="005C0EEA"/>
    <w:rsid w:val="005C6727"/>
    <w:rsid w:val="005D3120"/>
    <w:rsid w:val="005E1935"/>
    <w:rsid w:val="005F1ABB"/>
    <w:rsid w:val="00603650"/>
    <w:rsid w:val="00607BA5"/>
    <w:rsid w:val="0061486E"/>
    <w:rsid w:val="00637923"/>
    <w:rsid w:val="00647DCB"/>
    <w:rsid w:val="00662EF3"/>
    <w:rsid w:val="00663491"/>
    <w:rsid w:val="006634FD"/>
    <w:rsid w:val="00663C7E"/>
    <w:rsid w:val="0066583C"/>
    <w:rsid w:val="00667FE0"/>
    <w:rsid w:val="00671CFD"/>
    <w:rsid w:val="0067304C"/>
    <w:rsid w:val="00676339"/>
    <w:rsid w:val="00687BB3"/>
    <w:rsid w:val="006927ED"/>
    <w:rsid w:val="006A1E2C"/>
    <w:rsid w:val="006C01A4"/>
    <w:rsid w:val="006C07E2"/>
    <w:rsid w:val="006C274B"/>
    <w:rsid w:val="006C688E"/>
    <w:rsid w:val="006F2FFB"/>
    <w:rsid w:val="006F4A6E"/>
    <w:rsid w:val="007031FA"/>
    <w:rsid w:val="00703B65"/>
    <w:rsid w:val="007057A9"/>
    <w:rsid w:val="00711940"/>
    <w:rsid w:val="00715D8E"/>
    <w:rsid w:val="00734D17"/>
    <w:rsid w:val="00740F7C"/>
    <w:rsid w:val="00754C5B"/>
    <w:rsid w:val="007611B3"/>
    <w:rsid w:val="00771FFF"/>
    <w:rsid w:val="00775555"/>
    <w:rsid w:val="007762EE"/>
    <w:rsid w:val="00776ADF"/>
    <w:rsid w:val="007842E2"/>
    <w:rsid w:val="007844F1"/>
    <w:rsid w:val="00785D40"/>
    <w:rsid w:val="00797622"/>
    <w:rsid w:val="007A0DC5"/>
    <w:rsid w:val="007A5523"/>
    <w:rsid w:val="007A6ACD"/>
    <w:rsid w:val="007B0D5D"/>
    <w:rsid w:val="007B5DD0"/>
    <w:rsid w:val="007C0664"/>
    <w:rsid w:val="007D2018"/>
    <w:rsid w:val="007D27D2"/>
    <w:rsid w:val="007D2911"/>
    <w:rsid w:val="007D2A36"/>
    <w:rsid w:val="007D3351"/>
    <w:rsid w:val="007E1336"/>
    <w:rsid w:val="007E312A"/>
    <w:rsid w:val="007F1C64"/>
    <w:rsid w:val="007F59DA"/>
    <w:rsid w:val="008237CA"/>
    <w:rsid w:val="008407F7"/>
    <w:rsid w:val="00841E5C"/>
    <w:rsid w:val="00844BAB"/>
    <w:rsid w:val="00852458"/>
    <w:rsid w:val="00855891"/>
    <w:rsid w:val="008652DE"/>
    <w:rsid w:val="008657BC"/>
    <w:rsid w:val="008759EC"/>
    <w:rsid w:val="00880F1A"/>
    <w:rsid w:val="008835D7"/>
    <w:rsid w:val="00891FA9"/>
    <w:rsid w:val="0089285C"/>
    <w:rsid w:val="008965DD"/>
    <w:rsid w:val="008A46E8"/>
    <w:rsid w:val="008B0870"/>
    <w:rsid w:val="008B36B9"/>
    <w:rsid w:val="008B57A8"/>
    <w:rsid w:val="008C33F2"/>
    <w:rsid w:val="008C34D7"/>
    <w:rsid w:val="008D3B25"/>
    <w:rsid w:val="008E4F9E"/>
    <w:rsid w:val="008F57DD"/>
    <w:rsid w:val="00906EB4"/>
    <w:rsid w:val="009102B0"/>
    <w:rsid w:val="00930219"/>
    <w:rsid w:val="009306F6"/>
    <w:rsid w:val="00932127"/>
    <w:rsid w:val="009354A0"/>
    <w:rsid w:val="009401F9"/>
    <w:rsid w:val="00956436"/>
    <w:rsid w:val="00956849"/>
    <w:rsid w:val="00956B1D"/>
    <w:rsid w:val="0096315B"/>
    <w:rsid w:val="00972B74"/>
    <w:rsid w:val="00984BA8"/>
    <w:rsid w:val="00991E28"/>
    <w:rsid w:val="00995E2E"/>
    <w:rsid w:val="00996901"/>
    <w:rsid w:val="009A4CAE"/>
    <w:rsid w:val="009A6434"/>
    <w:rsid w:val="009C2984"/>
    <w:rsid w:val="009C3042"/>
    <w:rsid w:val="009E3CFD"/>
    <w:rsid w:val="009F3216"/>
    <w:rsid w:val="009F368F"/>
    <w:rsid w:val="00A0481F"/>
    <w:rsid w:val="00A07E1C"/>
    <w:rsid w:val="00A219B2"/>
    <w:rsid w:val="00A27E6B"/>
    <w:rsid w:val="00A30532"/>
    <w:rsid w:val="00A35566"/>
    <w:rsid w:val="00A415FC"/>
    <w:rsid w:val="00A454BB"/>
    <w:rsid w:val="00A52792"/>
    <w:rsid w:val="00A53539"/>
    <w:rsid w:val="00A56737"/>
    <w:rsid w:val="00A60167"/>
    <w:rsid w:val="00A60F3A"/>
    <w:rsid w:val="00A61654"/>
    <w:rsid w:val="00A61F4D"/>
    <w:rsid w:val="00A64CE4"/>
    <w:rsid w:val="00A6589C"/>
    <w:rsid w:val="00A7292D"/>
    <w:rsid w:val="00A740FB"/>
    <w:rsid w:val="00A86F9C"/>
    <w:rsid w:val="00A94D74"/>
    <w:rsid w:val="00A975EE"/>
    <w:rsid w:val="00A97FDA"/>
    <w:rsid w:val="00AA5420"/>
    <w:rsid w:val="00AB54B0"/>
    <w:rsid w:val="00AB7571"/>
    <w:rsid w:val="00AC2381"/>
    <w:rsid w:val="00AE0C93"/>
    <w:rsid w:val="00AE37D1"/>
    <w:rsid w:val="00AE66FD"/>
    <w:rsid w:val="00AF4CF2"/>
    <w:rsid w:val="00B057C5"/>
    <w:rsid w:val="00B06452"/>
    <w:rsid w:val="00B15439"/>
    <w:rsid w:val="00B22E07"/>
    <w:rsid w:val="00B2456B"/>
    <w:rsid w:val="00B24699"/>
    <w:rsid w:val="00B4672F"/>
    <w:rsid w:val="00B46A47"/>
    <w:rsid w:val="00B47C88"/>
    <w:rsid w:val="00B50E24"/>
    <w:rsid w:val="00B51743"/>
    <w:rsid w:val="00B5238F"/>
    <w:rsid w:val="00B5337A"/>
    <w:rsid w:val="00B6586A"/>
    <w:rsid w:val="00B664E2"/>
    <w:rsid w:val="00B85B22"/>
    <w:rsid w:val="00B86C92"/>
    <w:rsid w:val="00B86EFE"/>
    <w:rsid w:val="00B96D32"/>
    <w:rsid w:val="00BA0324"/>
    <w:rsid w:val="00BB1DC1"/>
    <w:rsid w:val="00BB5D6C"/>
    <w:rsid w:val="00BC07AA"/>
    <w:rsid w:val="00BC1703"/>
    <w:rsid w:val="00BE2B34"/>
    <w:rsid w:val="00BF029C"/>
    <w:rsid w:val="00BF46D2"/>
    <w:rsid w:val="00C069E6"/>
    <w:rsid w:val="00C103F3"/>
    <w:rsid w:val="00C13F92"/>
    <w:rsid w:val="00C218C0"/>
    <w:rsid w:val="00C21CE1"/>
    <w:rsid w:val="00C25072"/>
    <w:rsid w:val="00C26931"/>
    <w:rsid w:val="00C4208E"/>
    <w:rsid w:val="00C437E5"/>
    <w:rsid w:val="00C44C13"/>
    <w:rsid w:val="00C52C85"/>
    <w:rsid w:val="00C536C3"/>
    <w:rsid w:val="00C5545D"/>
    <w:rsid w:val="00C613C9"/>
    <w:rsid w:val="00C744BB"/>
    <w:rsid w:val="00C75E34"/>
    <w:rsid w:val="00C81530"/>
    <w:rsid w:val="00C84B58"/>
    <w:rsid w:val="00C91617"/>
    <w:rsid w:val="00C92534"/>
    <w:rsid w:val="00CA0C2B"/>
    <w:rsid w:val="00CA2A63"/>
    <w:rsid w:val="00CA3D33"/>
    <w:rsid w:val="00CB0052"/>
    <w:rsid w:val="00CB1AC0"/>
    <w:rsid w:val="00CB3379"/>
    <w:rsid w:val="00CB344C"/>
    <w:rsid w:val="00CB55D3"/>
    <w:rsid w:val="00CB7224"/>
    <w:rsid w:val="00CC0751"/>
    <w:rsid w:val="00CC1DED"/>
    <w:rsid w:val="00CC6AF3"/>
    <w:rsid w:val="00CC7771"/>
    <w:rsid w:val="00CD339B"/>
    <w:rsid w:val="00CE5194"/>
    <w:rsid w:val="00CE7CAC"/>
    <w:rsid w:val="00CF02D2"/>
    <w:rsid w:val="00D00AFF"/>
    <w:rsid w:val="00D00F45"/>
    <w:rsid w:val="00D02360"/>
    <w:rsid w:val="00D056F1"/>
    <w:rsid w:val="00D16FA0"/>
    <w:rsid w:val="00D21521"/>
    <w:rsid w:val="00D44F1C"/>
    <w:rsid w:val="00D509DB"/>
    <w:rsid w:val="00D51C91"/>
    <w:rsid w:val="00D54A2C"/>
    <w:rsid w:val="00D66E4F"/>
    <w:rsid w:val="00D67D59"/>
    <w:rsid w:val="00D7394B"/>
    <w:rsid w:val="00D740AE"/>
    <w:rsid w:val="00D75BD5"/>
    <w:rsid w:val="00D87FA8"/>
    <w:rsid w:val="00D943BB"/>
    <w:rsid w:val="00D9643D"/>
    <w:rsid w:val="00DA3D5F"/>
    <w:rsid w:val="00DB6157"/>
    <w:rsid w:val="00DC358C"/>
    <w:rsid w:val="00DC45E7"/>
    <w:rsid w:val="00DC6802"/>
    <w:rsid w:val="00DD3E30"/>
    <w:rsid w:val="00DD4777"/>
    <w:rsid w:val="00DD5EC9"/>
    <w:rsid w:val="00DE6923"/>
    <w:rsid w:val="00DF7D3E"/>
    <w:rsid w:val="00E03B48"/>
    <w:rsid w:val="00E175AE"/>
    <w:rsid w:val="00E27D4B"/>
    <w:rsid w:val="00E32756"/>
    <w:rsid w:val="00E41BD5"/>
    <w:rsid w:val="00E52FC5"/>
    <w:rsid w:val="00E679F8"/>
    <w:rsid w:val="00E70A93"/>
    <w:rsid w:val="00E80268"/>
    <w:rsid w:val="00E87DDC"/>
    <w:rsid w:val="00E92B0F"/>
    <w:rsid w:val="00E95BBE"/>
    <w:rsid w:val="00EA20B6"/>
    <w:rsid w:val="00EA7083"/>
    <w:rsid w:val="00EC7D4E"/>
    <w:rsid w:val="00ED1668"/>
    <w:rsid w:val="00ED7AA4"/>
    <w:rsid w:val="00EE5F16"/>
    <w:rsid w:val="00EF3E47"/>
    <w:rsid w:val="00EF48FD"/>
    <w:rsid w:val="00EF6D17"/>
    <w:rsid w:val="00F0175A"/>
    <w:rsid w:val="00F04787"/>
    <w:rsid w:val="00F05BC7"/>
    <w:rsid w:val="00F13ACA"/>
    <w:rsid w:val="00F218D3"/>
    <w:rsid w:val="00F2239B"/>
    <w:rsid w:val="00F23DCC"/>
    <w:rsid w:val="00F374BB"/>
    <w:rsid w:val="00F50046"/>
    <w:rsid w:val="00F60C8A"/>
    <w:rsid w:val="00F6426C"/>
    <w:rsid w:val="00F7617E"/>
    <w:rsid w:val="00F8362E"/>
    <w:rsid w:val="00F83BE9"/>
    <w:rsid w:val="00F8432C"/>
    <w:rsid w:val="00F873BE"/>
    <w:rsid w:val="00F91C5E"/>
    <w:rsid w:val="00F931A8"/>
    <w:rsid w:val="00FA3D99"/>
    <w:rsid w:val="00FB3888"/>
    <w:rsid w:val="00FC4EBA"/>
    <w:rsid w:val="00FF5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8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5DD"/>
    <w:pPr>
      <w:keepNext/>
      <w:keepLines/>
      <w:spacing w:before="480" w:line="240" w:lineRule="auto"/>
      <w:ind w:left="0"/>
      <w:outlineLvl w:val="0"/>
    </w:pPr>
    <w:rPr>
      <w:rFonts w:asciiTheme="majorHAnsi" w:eastAsiaTheme="majorEastAsia" w:hAnsiTheme="majorHAnsi" w:cstheme="majorBidi"/>
      <w:b/>
      <w:bCs/>
      <w:color w:val="365F91" w:themeColor="accent1" w:themeShade="B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6F6"/>
    <w:pPr>
      <w:ind w:left="720"/>
      <w:contextualSpacing/>
    </w:pPr>
  </w:style>
  <w:style w:type="paragraph" w:customStyle="1" w:styleId="RecB">
    <w:name w:val="RecB"/>
    <w:basedOn w:val="Normal"/>
    <w:link w:val="RecBChar"/>
    <w:rsid w:val="00D740AE"/>
    <w:pPr>
      <w:keepLines/>
      <w:pBdr>
        <w:left w:val="single" w:sz="24" w:space="12" w:color="C0C0C0"/>
      </w:pBdr>
      <w:spacing w:before="180" w:line="320" w:lineRule="atLeast"/>
      <w:ind w:left="0"/>
      <w:jc w:val="both"/>
    </w:pPr>
    <w:rPr>
      <w:rFonts w:ascii="Times New Roman" w:eastAsia="Times New Roman" w:hAnsi="Times New Roman" w:cs="Times New Roman"/>
      <w:b/>
      <w:i/>
      <w:sz w:val="26"/>
      <w:szCs w:val="20"/>
      <w:lang w:eastAsia="en-AU"/>
    </w:rPr>
  </w:style>
  <w:style w:type="paragraph" w:customStyle="1" w:styleId="RecBBullet">
    <w:name w:val="RecB Bullet"/>
    <w:basedOn w:val="RecB"/>
    <w:link w:val="RecBBulletChar"/>
    <w:rsid w:val="00D740AE"/>
    <w:pPr>
      <w:numPr>
        <w:numId w:val="10"/>
      </w:numPr>
      <w:spacing w:before="80"/>
    </w:pPr>
  </w:style>
  <w:style w:type="character" w:customStyle="1" w:styleId="RecBChar">
    <w:name w:val="RecB Char"/>
    <w:basedOn w:val="DefaultParagraphFont"/>
    <w:link w:val="RecB"/>
    <w:rsid w:val="00D740AE"/>
    <w:rPr>
      <w:rFonts w:ascii="Times New Roman" w:eastAsia="Times New Roman" w:hAnsi="Times New Roman" w:cs="Times New Roman"/>
      <w:b/>
      <w:i/>
      <w:sz w:val="26"/>
      <w:szCs w:val="20"/>
      <w:lang w:eastAsia="en-AU"/>
    </w:rPr>
  </w:style>
  <w:style w:type="character" w:customStyle="1" w:styleId="RecBBulletChar">
    <w:name w:val="RecB Bullet Char"/>
    <w:basedOn w:val="RecBChar"/>
    <w:link w:val="RecBBullet"/>
    <w:rsid w:val="00D740AE"/>
    <w:rPr>
      <w:rFonts w:ascii="Times New Roman" w:eastAsia="Times New Roman" w:hAnsi="Times New Roman" w:cs="Times New Roman"/>
      <w:b/>
      <w:i/>
      <w:sz w:val="26"/>
      <w:szCs w:val="20"/>
      <w:lang w:eastAsia="en-AU"/>
    </w:rPr>
  </w:style>
  <w:style w:type="paragraph" w:styleId="Header">
    <w:name w:val="header"/>
    <w:basedOn w:val="Normal"/>
    <w:link w:val="HeaderChar"/>
    <w:uiPriority w:val="99"/>
    <w:unhideWhenUsed/>
    <w:rsid w:val="0006711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67112"/>
  </w:style>
  <w:style w:type="paragraph" w:styleId="Footer">
    <w:name w:val="footer"/>
    <w:basedOn w:val="Normal"/>
    <w:link w:val="FooterChar"/>
    <w:uiPriority w:val="99"/>
    <w:unhideWhenUsed/>
    <w:rsid w:val="0006711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67112"/>
  </w:style>
  <w:style w:type="paragraph" w:styleId="BalloonText">
    <w:name w:val="Balloon Text"/>
    <w:basedOn w:val="Normal"/>
    <w:link w:val="BalloonTextChar"/>
    <w:uiPriority w:val="99"/>
    <w:semiHidden/>
    <w:unhideWhenUsed/>
    <w:rsid w:val="00A64C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E4"/>
    <w:rPr>
      <w:rFonts w:ascii="Tahoma" w:hAnsi="Tahoma" w:cs="Tahoma"/>
      <w:sz w:val="16"/>
      <w:szCs w:val="16"/>
    </w:rPr>
  </w:style>
  <w:style w:type="paragraph" w:styleId="NormalWeb">
    <w:name w:val="Normal (Web)"/>
    <w:basedOn w:val="Normal"/>
    <w:uiPriority w:val="99"/>
    <w:unhideWhenUsed/>
    <w:rsid w:val="00A219B2"/>
    <w:pPr>
      <w:spacing w:before="100" w:beforeAutospacing="1" w:after="100" w:afterAutospacing="1" w:line="240" w:lineRule="auto"/>
      <w:ind w:left="0"/>
    </w:pPr>
    <w:rPr>
      <w:rFonts w:ascii="Verdana" w:eastAsia="Times New Roman" w:hAnsi="Verdana" w:cs="Times New Roman"/>
      <w:sz w:val="24"/>
      <w:szCs w:val="24"/>
      <w:lang w:eastAsia="en-AU"/>
    </w:rPr>
  </w:style>
  <w:style w:type="paragraph" w:customStyle="1" w:styleId="FooterOdd">
    <w:name w:val="Footer Odd"/>
    <w:basedOn w:val="Normal"/>
    <w:qFormat/>
    <w:rsid w:val="007611B3"/>
    <w:pPr>
      <w:pBdr>
        <w:top w:val="single" w:sz="4" w:space="1" w:color="4F81BD" w:themeColor="accent1"/>
      </w:pBdr>
      <w:spacing w:before="0" w:after="180" w:line="264" w:lineRule="auto"/>
      <w:ind w:left="0"/>
      <w:jc w:val="right"/>
    </w:pPr>
    <w:rPr>
      <w:rFonts w:cs="Times New Roman"/>
      <w:color w:val="1F497D" w:themeColor="text2"/>
      <w:sz w:val="20"/>
      <w:szCs w:val="20"/>
      <w:lang w:val="en-US" w:eastAsia="ja-JP"/>
    </w:rPr>
  </w:style>
  <w:style w:type="character" w:customStyle="1" w:styleId="Heading1Char">
    <w:name w:val="Heading 1 Char"/>
    <w:basedOn w:val="DefaultParagraphFont"/>
    <w:link w:val="Heading1"/>
    <w:uiPriority w:val="9"/>
    <w:rsid w:val="008965DD"/>
    <w:rPr>
      <w:rFonts w:asciiTheme="majorHAnsi" w:eastAsiaTheme="majorEastAsia" w:hAnsiTheme="majorHAnsi" w:cstheme="majorBidi"/>
      <w:b/>
      <w:bCs/>
      <w:color w:val="365F91" w:themeColor="accent1" w:themeShade="BF"/>
      <w:sz w:val="28"/>
      <w:szCs w:val="28"/>
      <w:lang w:eastAsia="en-AU"/>
    </w:rPr>
  </w:style>
  <w:style w:type="character" w:styleId="Hyperlink">
    <w:name w:val="Hyperlink"/>
    <w:basedOn w:val="DefaultParagraphFont"/>
    <w:uiPriority w:val="99"/>
    <w:unhideWhenUsed/>
    <w:rsid w:val="008965DD"/>
    <w:rPr>
      <w:color w:val="0000FF"/>
      <w:u w:val="single"/>
    </w:rPr>
  </w:style>
  <w:style w:type="table" w:styleId="TableGrid">
    <w:name w:val="Table Grid"/>
    <w:basedOn w:val="TableNormal"/>
    <w:uiPriority w:val="59"/>
    <w:rsid w:val="00A415FC"/>
    <w:pPr>
      <w:spacing w:before="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0E42"/>
    <w:rPr>
      <w:sz w:val="16"/>
      <w:szCs w:val="16"/>
    </w:rPr>
  </w:style>
  <w:style w:type="paragraph" w:styleId="CommentText">
    <w:name w:val="annotation text"/>
    <w:basedOn w:val="Normal"/>
    <w:link w:val="CommentTextChar"/>
    <w:uiPriority w:val="99"/>
    <w:semiHidden/>
    <w:unhideWhenUsed/>
    <w:rsid w:val="00200E42"/>
    <w:pPr>
      <w:spacing w:line="240" w:lineRule="auto"/>
    </w:pPr>
    <w:rPr>
      <w:sz w:val="20"/>
      <w:szCs w:val="20"/>
    </w:rPr>
  </w:style>
  <w:style w:type="character" w:customStyle="1" w:styleId="CommentTextChar">
    <w:name w:val="Comment Text Char"/>
    <w:basedOn w:val="DefaultParagraphFont"/>
    <w:link w:val="CommentText"/>
    <w:uiPriority w:val="99"/>
    <w:semiHidden/>
    <w:rsid w:val="00200E42"/>
    <w:rPr>
      <w:sz w:val="20"/>
      <w:szCs w:val="20"/>
    </w:rPr>
  </w:style>
  <w:style w:type="paragraph" w:styleId="CommentSubject">
    <w:name w:val="annotation subject"/>
    <w:basedOn w:val="CommentText"/>
    <w:next w:val="CommentText"/>
    <w:link w:val="CommentSubjectChar"/>
    <w:uiPriority w:val="99"/>
    <w:semiHidden/>
    <w:unhideWhenUsed/>
    <w:rsid w:val="00200E42"/>
    <w:rPr>
      <w:b/>
      <w:bCs/>
    </w:rPr>
  </w:style>
  <w:style w:type="character" w:customStyle="1" w:styleId="CommentSubjectChar">
    <w:name w:val="Comment Subject Char"/>
    <w:basedOn w:val="CommentTextChar"/>
    <w:link w:val="CommentSubject"/>
    <w:uiPriority w:val="99"/>
    <w:semiHidden/>
    <w:rsid w:val="00200E42"/>
    <w:rPr>
      <w:b/>
      <w:bCs/>
      <w:sz w:val="20"/>
      <w:szCs w:val="20"/>
    </w:rPr>
  </w:style>
  <w:style w:type="paragraph" w:styleId="Revision">
    <w:name w:val="Revision"/>
    <w:hidden/>
    <w:uiPriority w:val="99"/>
    <w:semiHidden/>
    <w:rsid w:val="006C01A4"/>
    <w:pPr>
      <w:spacing w:before="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linda.crole@ymc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resswell@goodsamsfoundation.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6BB6-6F6C-4D2C-AC57-6EBB561794B5}">
  <ds:schemaRefs>
    <ds:schemaRef ds:uri="http://schemas.openxmlformats.org/officeDocument/2006/bibliography"/>
  </ds:schemaRefs>
</ds:datastoreItem>
</file>

<file path=customXml/itemProps2.xml><?xml version="1.0" encoding="utf-8"?>
<ds:datastoreItem xmlns:ds="http://schemas.openxmlformats.org/officeDocument/2006/customXml" ds:itemID="{B0378EF7-B98B-41D2-968B-1456458F3729}">
  <ds:schemaRefs>
    <ds:schemaRef ds:uri="http://schemas.openxmlformats.org/officeDocument/2006/bibliography"/>
  </ds:schemaRefs>
</ds:datastoreItem>
</file>

<file path=customXml/itemProps3.xml><?xml version="1.0" encoding="utf-8"?>
<ds:datastoreItem xmlns:ds="http://schemas.openxmlformats.org/officeDocument/2006/customXml" ds:itemID="{E53CBF99-96FE-497A-801F-393EB6C2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2017-02-10T06:00:00Z</dcterms:created>
  <dcterms:modified xsi:type="dcterms:W3CDTF">2017-02-10T10:36:00Z</dcterms:modified>
</cp:coreProperties>
</file>